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1D52D" w14:textId="2644B449" w:rsidR="00552AA7" w:rsidRPr="006E6C20" w:rsidRDefault="00552AA7" w:rsidP="00552AA7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</w:pPr>
      <w:r w:rsidRPr="006E6C20"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  <w:t>ODYSSEY DIRECT GIVING CAMPAIGN</w:t>
      </w:r>
      <w:r w:rsidR="00C45452" w:rsidRPr="006E6C20"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  <w:t xml:space="preserve"> </w:t>
      </w:r>
      <w:r w:rsidR="00961CC4"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  <w:t>2015-16</w:t>
      </w:r>
    </w:p>
    <w:p w14:paraId="588BCEA0" w14:textId="77777777" w:rsidR="00552AA7" w:rsidRPr="006E6C20" w:rsidRDefault="00552AA7" w:rsidP="004950E3">
      <w:pPr>
        <w:spacing w:line="180" w:lineRule="exact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0682C192" w14:textId="77777777" w:rsidR="007A0A2C" w:rsidRPr="00A61F7C" w:rsidRDefault="007A0A2C" w:rsidP="004950E3">
      <w:pPr>
        <w:jc w:val="center"/>
        <w:rPr>
          <w:rFonts w:asciiTheme="minorHAnsi" w:eastAsia="Gungsuh" w:hAnsiTheme="minorHAnsi" w:cstheme="minorHAnsi"/>
          <w:b/>
          <w:color w:val="000000"/>
          <w:spacing w:val="-10"/>
          <w:sz w:val="22"/>
          <w:szCs w:val="22"/>
        </w:rPr>
      </w:pPr>
      <w:r w:rsidRPr="00A61F7C">
        <w:rPr>
          <w:rFonts w:asciiTheme="minorHAnsi" w:hAnsiTheme="minorHAnsi" w:cstheme="minorHAnsi"/>
          <w:b/>
          <w:color w:val="000000"/>
          <w:spacing w:val="-10"/>
          <w:sz w:val="22"/>
          <w:szCs w:val="22"/>
        </w:rPr>
        <w:t xml:space="preserve">FIELD STUDIES * </w:t>
      </w:r>
      <w:r w:rsidRPr="00A61F7C">
        <w:rPr>
          <w:rFonts w:asciiTheme="minorHAnsi" w:eastAsia="MS Mincho" w:hAnsiTheme="minorHAnsi" w:cstheme="minorHAnsi"/>
          <w:b/>
          <w:color w:val="000000"/>
          <w:spacing w:val="-10"/>
          <w:sz w:val="22"/>
          <w:szCs w:val="22"/>
        </w:rPr>
        <w:t>PERFORMANCES *</w:t>
      </w:r>
      <w:r w:rsidR="006B14AA" w:rsidRPr="00A61F7C">
        <w:rPr>
          <w:rFonts w:asciiTheme="minorHAnsi" w:eastAsia="MS Mincho" w:hAnsiTheme="minorHAnsi" w:cstheme="minorHAnsi"/>
          <w:b/>
          <w:color w:val="000000"/>
          <w:spacing w:val="-10"/>
          <w:sz w:val="22"/>
          <w:szCs w:val="22"/>
        </w:rPr>
        <w:t xml:space="preserve"> </w:t>
      </w:r>
      <w:r w:rsidRPr="00A61F7C">
        <w:rPr>
          <w:rFonts w:asciiTheme="minorHAnsi" w:eastAsia="MS Mincho" w:hAnsiTheme="minorHAnsi" w:cstheme="minorHAnsi"/>
          <w:b/>
          <w:color w:val="000000"/>
          <w:spacing w:val="-10"/>
          <w:sz w:val="22"/>
          <w:szCs w:val="22"/>
        </w:rPr>
        <w:t xml:space="preserve">LEADERSHIP * </w:t>
      </w:r>
      <w:r w:rsidR="005F1F6B" w:rsidRPr="00A61F7C">
        <w:rPr>
          <w:rFonts w:asciiTheme="minorHAnsi" w:eastAsia="Gungsuh" w:hAnsiTheme="minorHAnsi" w:cstheme="minorHAnsi"/>
          <w:b/>
          <w:color w:val="000000"/>
          <w:spacing w:val="-10"/>
          <w:sz w:val="22"/>
          <w:szCs w:val="22"/>
        </w:rPr>
        <w:t>ACADEMIC EXCELLE</w:t>
      </w:r>
      <w:r w:rsidR="006B14AA" w:rsidRPr="00A61F7C">
        <w:rPr>
          <w:rFonts w:asciiTheme="minorHAnsi" w:eastAsia="Gungsuh" w:hAnsiTheme="minorHAnsi" w:cstheme="minorHAnsi"/>
          <w:b/>
          <w:color w:val="000000"/>
          <w:spacing w:val="-10"/>
          <w:sz w:val="22"/>
          <w:szCs w:val="22"/>
        </w:rPr>
        <w:t>NCE</w:t>
      </w:r>
      <w:r w:rsidR="004950E3" w:rsidRPr="00A61F7C">
        <w:rPr>
          <w:rFonts w:asciiTheme="minorHAnsi" w:eastAsia="Gungsuh" w:hAnsiTheme="minorHAnsi" w:cstheme="minorHAnsi"/>
          <w:b/>
          <w:color w:val="000000"/>
          <w:spacing w:val="-10"/>
          <w:sz w:val="22"/>
          <w:szCs w:val="22"/>
        </w:rPr>
        <w:t xml:space="preserve"> * </w:t>
      </w:r>
      <w:r w:rsidRPr="00A61F7C">
        <w:rPr>
          <w:rFonts w:asciiTheme="minorHAnsi" w:eastAsia="Gungsuh" w:hAnsiTheme="minorHAnsi" w:cstheme="minorHAnsi"/>
          <w:b/>
          <w:color w:val="000000"/>
          <w:spacing w:val="-10"/>
          <w:sz w:val="22"/>
          <w:szCs w:val="22"/>
        </w:rPr>
        <w:t>MULTI-AGED</w:t>
      </w:r>
      <w:r w:rsidR="004950E3" w:rsidRPr="00A61F7C">
        <w:rPr>
          <w:rFonts w:asciiTheme="minorHAnsi" w:eastAsia="Gungsuh" w:hAnsiTheme="minorHAnsi" w:cstheme="minorHAnsi"/>
          <w:b/>
          <w:color w:val="000000"/>
          <w:spacing w:val="-10"/>
          <w:sz w:val="22"/>
          <w:szCs w:val="22"/>
        </w:rPr>
        <w:t>/</w:t>
      </w:r>
      <w:r w:rsidR="006E6C20" w:rsidRPr="00A61F7C">
        <w:rPr>
          <w:rFonts w:asciiTheme="minorHAnsi" w:eastAsia="Gungsuh" w:hAnsiTheme="minorHAnsi" w:cstheme="minorHAnsi"/>
          <w:b/>
          <w:color w:val="000000"/>
          <w:spacing w:val="-10"/>
          <w:sz w:val="22"/>
          <w:szCs w:val="22"/>
        </w:rPr>
        <w:t>TEAM-BASED</w:t>
      </w:r>
      <w:r w:rsidRPr="00A61F7C">
        <w:rPr>
          <w:rFonts w:asciiTheme="minorHAnsi" w:eastAsia="Gungsuh" w:hAnsiTheme="minorHAnsi" w:cstheme="minorHAnsi"/>
          <w:b/>
          <w:color w:val="000000"/>
          <w:spacing w:val="-10"/>
          <w:sz w:val="22"/>
          <w:szCs w:val="22"/>
        </w:rPr>
        <w:t xml:space="preserve"> LEARNING</w:t>
      </w:r>
      <w:r w:rsidR="00272AD7" w:rsidRPr="00A61F7C">
        <w:rPr>
          <w:rFonts w:asciiTheme="minorHAnsi" w:eastAsia="Gungsuh" w:hAnsiTheme="minorHAnsi" w:cstheme="minorHAnsi"/>
          <w:b/>
          <w:color w:val="000000"/>
          <w:spacing w:val="-10"/>
          <w:sz w:val="22"/>
          <w:szCs w:val="22"/>
        </w:rPr>
        <w:t xml:space="preserve"> * COMMUNITY</w:t>
      </w:r>
    </w:p>
    <w:p w14:paraId="6148BD21" w14:textId="77777777" w:rsidR="007A0A2C" w:rsidRPr="006E6C20" w:rsidRDefault="007A0A2C" w:rsidP="004950E3">
      <w:pPr>
        <w:spacing w:line="120" w:lineRule="exact"/>
        <w:rPr>
          <w:rFonts w:asciiTheme="minorHAnsi" w:hAnsiTheme="minorHAnsi" w:cstheme="minorHAnsi"/>
          <w:color w:val="000000"/>
        </w:rPr>
      </w:pPr>
    </w:p>
    <w:p w14:paraId="3E8C7294" w14:textId="77777777" w:rsidR="006B2734" w:rsidRPr="006E6C20" w:rsidRDefault="006B273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A90714">
        <w:rPr>
          <w:rFonts w:asciiTheme="minorHAnsi" w:hAnsiTheme="minorHAnsi" w:cstheme="minorHAnsi"/>
          <w:b/>
          <w:color w:val="000000"/>
        </w:rPr>
        <w:t xml:space="preserve">Dear Odyssey </w:t>
      </w:r>
      <w:r w:rsidR="00401201" w:rsidRPr="00A90714">
        <w:rPr>
          <w:rFonts w:asciiTheme="minorHAnsi" w:hAnsiTheme="minorHAnsi" w:cstheme="minorHAnsi"/>
          <w:b/>
          <w:color w:val="000000"/>
        </w:rPr>
        <w:t xml:space="preserve">Parents and other Odyssey </w:t>
      </w:r>
      <w:r w:rsidRPr="00A90714">
        <w:rPr>
          <w:rFonts w:asciiTheme="minorHAnsi" w:hAnsiTheme="minorHAnsi" w:cstheme="minorHAnsi"/>
          <w:b/>
          <w:color w:val="000000"/>
        </w:rPr>
        <w:t>Community Supporters</w:t>
      </w:r>
      <w:r w:rsidRPr="006E6C2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0C5C58" w:rsidRPr="006E6C20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14:paraId="2D147E92" w14:textId="77777777" w:rsidR="007A0A2C" w:rsidRPr="006E6C20" w:rsidRDefault="007A0A2C" w:rsidP="004950E3">
      <w:pPr>
        <w:spacing w:line="1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648629C" w14:textId="77777777" w:rsidR="006E6C20" w:rsidRPr="006E6C20" w:rsidRDefault="006B2734" w:rsidP="002A5DF8">
      <w:pPr>
        <w:spacing w:line="220" w:lineRule="exact"/>
        <w:rPr>
          <w:rFonts w:ascii="Calibri" w:hAnsi="Calibri" w:cs="Calibri"/>
          <w:sz w:val="20"/>
          <w:szCs w:val="20"/>
        </w:rPr>
      </w:pPr>
      <w:r w:rsidRPr="006E6C20">
        <w:rPr>
          <w:rFonts w:asciiTheme="minorHAnsi" w:hAnsiTheme="minorHAnsi" w:cstheme="minorHAnsi"/>
          <w:sz w:val="20"/>
          <w:szCs w:val="20"/>
        </w:rPr>
        <w:t>The Odyssey Program</w:t>
      </w:r>
      <w:r w:rsidR="000C5C58" w:rsidRPr="006E6C20">
        <w:rPr>
          <w:rFonts w:asciiTheme="minorHAnsi" w:hAnsiTheme="minorHAnsi" w:cstheme="minorHAnsi"/>
          <w:sz w:val="20"/>
          <w:szCs w:val="20"/>
        </w:rPr>
        <w:t xml:space="preserve">, with its emphasis on </w:t>
      </w:r>
      <w:r w:rsidRPr="006E6C20">
        <w:rPr>
          <w:rFonts w:asciiTheme="minorHAnsi" w:hAnsiTheme="minorHAnsi" w:cstheme="minorHAnsi"/>
          <w:sz w:val="20"/>
          <w:szCs w:val="20"/>
        </w:rPr>
        <w:t>critical thinking and leadership development, is proud to be one of Portland Public Schools’ mo</w:t>
      </w:r>
      <w:r w:rsidR="002A5DF8">
        <w:rPr>
          <w:rFonts w:asciiTheme="minorHAnsi" w:hAnsiTheme="minorHAnsi" w:cstheme="minorHAnsi"/>
          <w:sz w:val="20"/>
          <w:szCs w:val="20"/>
        </w:rPr>
        <w:t>st sought after focus programs.</w:t>
      </w:r>
      <w:r w:rsidRPr="006E6C20">
        <w:rPr>
          <w:rFonts w:asciiTheme="minorHAnsi" w:hAnsiTheme="minorHAnsi" w:cstheme="minorHAnsi"/>
          <w:sz w:val="20"/>
          <w:szCs w:val="20"/>
        </w:rPr>
        <w:t xml:space="preserve"> Odyssey continues t</w:t>
      </w:r>
      <w:r w:rsidR="00CA4B2E" w:rsidRPr="006E6C20">
        <w:rPr>
          <w:rFonts w:asciiTheme="minorHAnsi" w:hAnsiTheme="minorHAnsi" w:cstheme="minorHAnsi"/>
          <w:sz w:val="20"/>
          <w:szCs w:val="20"/>
        </w:rPr>
        <w:t xml:space="preserve">o attract </w:t>
      </w:r>
      <w:r w:rsidR="007A0A2C" w:rsidRPr="006E6C20">
        <w:rPr>
          <w:rFonts w:asciiTheme="minorHAnsi" w:hAnsiTheme="minorHAnsi" w:cstheme="minorHAnsi"/>
          <w:sz w:val="20"/>
          <w:szCs w:val="20"/>
        </w:rPr>
        <w:t xml:space="preserve">a wide variety of </w:t>
      </w:r>
      <w:r w:rsidRPr="006E6C20">
        <w:rPr>
          <w:rFonts w:asciiTheme="minorHAnsi" w:hAnsiTheme="minorHAnsi" w:cstheme="minorHAnsi"/>
          <w:sz w:val="20"/>
          <w:szCs w:val="20"/>
        </w:rPr>
        <w:t>students</w:t>
      </w:r>
      <w:r w:rsidR="007A0A2C" w:rsidRPr="006E6C20">
        <w:rPr>
          <w:rFonts w:asciiTheme="minorHAnsi" w:hAnsiTheme="minorHAnsi" w:cstheme="minorHAnsi"/>
          <w:sz w:val="20"/>
          <w:szCs w:val="20"/>
        </w:rPr>
        <w:t xml:space="preserve"> who </w:t>
      </w:r>
      <w:r w:rsidR="00401201" w:rsidRPr="006E6C20">
        <w:rPr>
          <w:rFonts w:asciiTheme="minorHAnsi" w:hAnsiTheme="minorHAnsi" w:cstheme="minorHAnsi"/>
          <w:sz w:val="20"/>
          <w:szCs w:val="20"/>
        </w:rPr>
        <w:t>thrive</w:t>
      </w:r>
      <w:r w:rsidRPr="006E6C20">
        <w:rPr>
          <w:rFonts w:asciiTheme="minorHAnsi" w:hAnsiTheme="minorHAnsi" w:cstheme="minorHAnsi"/>
          <w:sz w:val="20"/>
          <w:szCs w:val="20"/>
        </w:rPr>
        <w:t xml:space="preserve"> as a result of </w:t>
      </w:r>
      <w:r w:rsidR="00A61F7C">
        <w:rPr>
          <w:rFonts w:asciiTheme="minorHAnsi" w:hAnsiTheme="minorHAnsi" w:cstheme="minorHAnsi"/>
          <w:sz w:val="20"/>
          <w:szCs w:val="20"/>
        </w:rPr>
        <w:t>our</w:t>
      </w:r>
      <w:r w:rsidR="00C12188" w:rsidRPr="006E6C20">
        <w:rPr>
          <w:rFonts w:asciiTheme="minorHAnsi" w:hAnsiTheme="minorHAnsi" w:cstheme="minorHAnsi"/>
          <w:sz w:val="20"/>
          <w:szCs w:val="20"/>
        </w:rPr>
        <w:t xml:space="preserve"> </w:t>
      </w:r>
      <w:r w:rsidRPr="006E6C20">
        <w:rPr>
          <w:rFonts w:asciiTheme="minorHAnsi" w:hAnsiTheme="minorHAnsi" w:cstheme="minorHAnsi"/>
          <w:sz w:val="20"/>
          <w:szCs w:val="20"/>
        </w:rPr>
        <w:t xml:space="preserve">acclaimed enrichment activities and resources. </w:t>
      </w:r>
      <w:r w:rsidR="006E6C20" w:rsidRPr="006E6C20">
        <w:rPr>
          <w:rFonts w:ascii="Calibri" w:hAnsi="Calibri" w:cs="Calibri"/>
          <w:sz w:val="20"/>
          <w:szCs w:val="20"/>
        </w:rPr>
        <w:t>Other than teacher salaries, building</w:t>
      </w:r>
      <w:r w:rsidR="006E6C20">
        <w:rPr>
          <w:rFonts w:ascii="Calibri" w:hAnsi="Calibri" w:cs="Calibri"/>
          <w:sz w:val="20"/>
          <w:szCs w:val="20"/>
        </w:rPr>
        <w:t xml:space="preserve"> maintenance</w:t>
      </w:r>
      <w:r w:rsidR="006E6C20" w:rsidRPr="006E6C20">
        <w:rPr>
          <w:rFonts w:ascii="Calibri" w:hAnsi="Calibri" w:cs="Calibri"/>
          <w:sz w:val="20"/>
          <w:szCs w:val="20"/>
        </w:rPr>
        <w:t>, and common school resources (PE, Computer Lab, etc.),</w:t>
      </w:r>
      <w:r w:rsidR="007E59D2">
        <w:rPr>
          <w:rFonts w:ascii="Calibri" w:hAnsi="Calibri" w:cs="Calibri"/>
          <w:sz w:val="20"/>
          <w:szCs w:val="20"/>
        </w:rPr>
        <w:t xml:space="preserve"> Odyssey</w:t>
      </w:r>
      <w:r w:rsidR="006E6C20" w:rsidRPr="006E6C20">
        <w:rPr>
          <w:rFonts w:ascii="Calibri" w:hAnsi="Calibri" w:cs="Calibri"/>
          <w:sz w:val="20"/>
          <w:szCs w:val="20"/>
        </w:rPr>
        <w:t xml:space="preserve"> </w:t>
      </w:r>
      <w:r w:rsidR="006E6C20" w:rsidRPr="006E6C20">
        <w:rPr>
          <w:rFonts w:ascii="Calibri" w:hAnsi="Calibri" w:cs="Calibri"/>
          <w:sz w:val="20"/>
          <w:szCs w:val="20"/>
          <w:u w:val="single"/>
        </w:rPr>
        <w:t>Direct Giving</w:t>
      </w:r>
      <w:r w:rsidR="006E6C20" w:rsidRPr="006E6C20">
        <w:rPr>
          <w:rFonts w:ascii="Calibri" w:hAnsi="Calibri" w:cs="Calibri"/>
          <w:sz w:val="20"/>
          <w:szCs w:val="20"/>
        </w:rPr>
        <w:t xml:space="preserve"> and </w:t>
      </w:r>
      <w:r w:rsidR="006E6C20" w:rsidRPr="006E6C20">
        <w:rPr>
          <w:rFonts w:ascii="Calibri" w:hAnsi="Calibri" w:cs="Calibri"/>
          <w:sz w:val="20"/>
          <w:szCs w:val="20"/>
          <w:u w:val="single"/>
        </w:rPr>
        <w:t xml:space="preserve">Shared Fundraising Events for </w:t>
      </w:r>
      <w:proofErr w:type="spellStart"/>
      <w:r w:rsidR="006E6C20" w:rsidRPr="006E6C20">
        <w:rPr>
          <w:rFonts w:ascii="Calibri" w:hAnsi="Calibri" w:cs="Calibri"/>
          <w:sz w:val="20"/>
          <w:szCs w:val="20"/>
          <w:u w:val="single"/>
        </w:rPr>
        <w:t>Hayhurst</w:t>
      </w:r>
      <w:proofErr w:type="spellEnd"/>
      <w:r w:rsidR="006E6C20" w:rsidRPr="006E6C20">
        <w:rPr>
          <w:rFonts w:ascii="Calibri" w:hAnsi="Calibri" w:cs="Calibri"/>
          <w:sz w:val="20"/>
          <w:szCs w:val="20"/>
          <w:u w:val="single"/>
        </w:rPr>
        <w:t>/Odyssey</w:t>
      </w:r>
      <w:r w:rsidR="001F6130">
        <w:rPr>
          <w:rFonts w:ascii="Calibri" w:hAnsi="Calibri" w:cs="Calibri"/>
          <w:sz w:val="20"/>
          <w:szCs w:val="20"/>
        </w:rPr>
        <w:t xml:space="preserve"> </w:t>
      </w:r>
      <w:r w:rsidR="006E6C20" w:rsidRPr="006E6C20">
        <w:rPr>
          <w:rFonts w:ascii="Calibri" w:hAnsi="Calibri" w:cs="Calibri"/>
          <w:sz w:val="20"/>
          <w:szCs w:val="20"/>
        </w:rPr>
        <w:t xml:space="preserve">provide 100% of what </w:t>
      </w:r>
      <w:r w:rsidR="007E59D2">
        <w:rPr>
          <w:rFonts w:ascii="Calibri" w:hAnsi="Calibri" w:cs="Calibri"/>
          <w:sz w:val="20"/>
          <w:szCs w:val="20"/>
        </w:rPr>
        <w:t>is required to deliver an</w:t>
      </w:r>
      <w:r w:rsidR="006E6C20" w:rsidRPr="006E6C20">
        <w:rPr>
          <w:rFonts w:ascii="Calibri" w:hAnsi="Calibri" w:cs="Calibri"/>
          <w:sz w:val="20"/>
          <w:szCs w:val="20"/>
        </w:rPr>
        <w:t xml:space="preserve"> Odyssey education.</w:t>
      </w:r>
      <w:r w:rsidR="002A5DF8">
        <w:rPr>
          <w:rFonts w:ascii="Calibri" w:hAnsi="Calibri" w:cs="Calibri"/>
          <w:sz w:val="20"/>
          <w:szCs w:val="20"/>
        </w:rPr>
        <w:t xml:space="preserve"> </w:t>
      </w:r>
      <w:r w:rsidR="006E6C20" w:rsidRPr="006E6C20">
        <w:rPr>
          <w:rFonts w:ascii="Calibri" w:hAnsi="Calibri" w:cs="Calibri"/>
          <w:sz w:val="20"/>
          <w:szCs w:val="20"/>
        </w:rPr>
        <w:t>Direct Giving pays for Odyssey’s custom</w:t>
      </w:r>
      <w:r w:rsidR="006E6C20">
        <w:rPr>
          <w:rFonts w:ascii="Calibri" w:hAnsi="Calibri" w:cs="Calibri"/>
          <w:sz w:val="20"/>
          <w:szCs w:val="20"/>
        </w:rPr>
        <w:t>ized</w:t>
      </w:r>
      <w:r w:rsidR="006E6C20" w:rsidRPr="006E6C20">
        <w:rPr>
          <w:rFonts w:ascii="Calibri" w:hAnsi="Calibri" w:cs="Calibri"/>
          <w:sz w:val="20"/>
          <w:szCs w:val="20"/>
        </w:rPr>
        <w:t xml:space="preserve"> curriculum</w:t>
      </w:r>
      <w:r w:rsidR="006E6C20">
        <w:rPr>
          <w:rFonts w:ascii="Calibri" w:hAnsi="Calibri" w:cs="Calibri"/>
          <w:sz w:val="20"/>
          <w:szCs w:val="20"/>
        </w:rPr>
        <w:t xml:space="preserve"> (content, binders, etc), and </w:t>
      </w:r>
      <w:r w:rsidR="007E59D2">
        <w:rPr>
          <w:rFonts w:ascii="Calibri" w:hAnsi="Calibri" w:cs="Calibri"/>
          <w:sz w:val="20"/>
          <w:szCs w:val="20"/>
        </w:rPr>
        <w:t>all</w:t>
      </w:r>
      <w:r w:rsidR="006E6C20" w:rsidRPr="006E6C20">
        <w:rPr>
          <w:rFonts w:ascii="Calibri" w:hAnsi="Calibri" w:cs="Calibri"/>
          <w:sz w:val="20"/>
          <w:szCs w:val="20"/>
        </w:rPr>
        <w:t xml:space="preserve"> enrichment activities, </w:t>
      </w:r>
      <w:r w:rsidR="006E6C20">
        <w:rPr>
          <w:rFonts w:ascii="Calibri" w:hAnsi="Calibri" w:cs="Calibri"/>
          <w:sz w:val="20"/>
          <w:szCs w:val="20"/>
        </w:rPr>
        <w:t xml:space="preserve">including </w:t>
      </w:r>
      <w:r w:rsidR="006E6C20" w:rsidRPr="006E6C20">
        <w:rPr>
          <w:rFonts w:ascii="Calibri" w:hAnsi="Calibri" w:cs="Calibri"/>
          <w:sz w:val="20"/>
          <w:szCs w:val="20"/>
        </w:rPr>
        <w:t xml:space="preserve">art and science activities, </w:t>
      </w:r>
      <w:r w:rsidR="006E6C20">
        <w:rPr>
          <w:rFonts w:ascii="Calibri" w:hAnsi="Calibri" w:cs="Calibri"/>
          <w:sz w:val="20"/>
          <w:szCs w:val="20"/>
        </w:rPr>
        <w:t xml:space="preserve">incredible </w:t>
      </w:r>
      <w:r w:rsidR="006E6C20" w:rsidRPr="006E6C20">
        <w:rPr>
          <w:rFonts w:ascii="Calibri" w:hAnsi="Calibri" w:cs="Calibri"/>
          <w:sz w:val="20"/>
          <w:szCs w:val="20"/>
        </w:rPr>
        <w:t>performances</w:t>
      </w:r>
      <w:r w:rsidR="006E6C20">
        <w:rPr>
          <w:rFonts w:ascii="Calibri" w:hAnsi="Calibri" w:cs="Calibri"/>
          <w:sz w:val="20"/>
          <w:szCs w:val="20"/>
        </w:rPr>
        <w:t xml:space="preserve"> field trips and multi-day </w:t>
      </w:r>
      <w:r w:rsidR="006E6C20" w:rsidRPr="006E6C20">
        <w:rPr>
          <w:rFonts w:ascii="Calibri" w:hAnsi="Calibri" w:cs="Calibri"/>
          <w:sz w:val="20"/>
          <w:szCs w:val="20"/>
        </w:rPr>
        <w:t xml:space="preserve">field studies, </w:t>
      </w:r>
      <w:r w:rsidR="006E6C20">
        <w:rPr>
          <w:rFonts w:ascii="Calibri" w:hAnsi="Calibri" w:cs="Calibri"/>
          <w:sz w:val="20"/>
          <w:szCs w:val="20"/>
        </w:rPr>
        <w:t>and more.</w:t>
      </w:r>
      <w:r w:rsidR="006E6C20" w:rsidRPr="006E6C20">
        <w:rPr>
          <w:rFonts w:ascii="Calibri" w:hAnsi="Calibri" w:cs="Calibri"/>
          <w:sz w:val="20"/>
          <w:szCs w:val="20"/>
        </w:rPr>
        <w:t xml:space="preserve">   </w:t>
      </w:r>
    </w:p>
    <w:p w14:paraId="21FBBDA9" w14:textId="77777777" w:rsidR="006E6C20" w:rsidRPr="006E6C20" w:rsidRDefault="006E6C20" w:rsidP="004950E3">
      <w:pPr>
        <w:spacing w:line="120" w:lineRule="exact"/>
        <w:rPr>
          <w:rFonts w:ascii="Calibri" w:hAnsi="Calibri" w:cs="Calibri"/>
          <w:sz w:val="20"/>
          <w:szCs w:val="20"/>
        </w:rPr>
      </w:pPr>
    </w:p>
    <w:p w14:paraId="51A7BEB5" w14:textId="77777777" w:rsidR="006E6C20" w:rsidRPr="00A90714" w:rsidRDefault="00E314E1" w:rsidP="006E6C20">
      <w:pPr>
        <w:rPr>
          <w:rFonts w:ascii="Calibri" w:hAnsi="Calibri" w:cs="Calibri"/>
          <w:b/>
        </w:rPr>
      </w:pPr>
      <w:r w:rsidRPr="00A90714">
        <w:rPr>
          <w:rFonts w:ascii="Calibri" w:hAnsi="Calibri" w:cs="Calibri"/>
          <w:b/>
        </w:rPr>
        <w:t xml:space="preserve">Odyssey </w:t>
      </w:r>
      <w:r w:rsidR="006E6C20" w:rsidRPr="00A90714">
        <w:rPr>
          <w:rFonts w:ascii="Calibri" w:hAnsi="Calibri" w:cs="Calibri"/>
          <w:b/>
        </w:rPr>
        <w:t>Income and Expenses at a Glance</w:t>
      </w:r>
    </w:p>
    <w:p w14:paraId="2B4BF614" w14:textId="77777777" w:rsidR="007E59D2" w:rsidRDefault="007E59D2" w:rsidP="002A5DF8">
      <w:pPr>
        <w:spacing w:line="22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6E6C20" w:rsidRPr="006E6C20">
        <w:rPr>
          <w:rFonts w:ascii="Calibri" w:hAnsi="Calibri" w:cs="Calibri"/>
          <w:sz w:val="20"/>
          <w:szCs w:val="20"/>
        </w:rPr>
        <w:t xml:space="preserve"> </w:t>
      </w:r>
      <w:r w:rsidR="006E6C20">
        <w:rPr>
          <w:rFonts w:ascii="Calibri" w:hAnsi="Calibri" w:cs="Calibri"/>
          <w:sz w:val="20"/>
          <w:szCs w:val="20"/>
        </w:rPr>
        <w:t>fully-funded,</w:t>
      </w:r>
      <w:r w:rsidR="006E6C20" w:rsidRPr="006E6C20">
        <w:rPr>
          <w:rFonts w:ascii="Calibri" w:hAnsi="Calibri" w:cs="Calibri"/>
          <w:sz w:val="20"/>
          <w:szCs w:val="20"/>
        </w:rPr>
        <w:t xml:space="preserve"> </w:t>
      </w:r>
      <w:r w:rsidR="006E6C20">
        <w:rPr>
          <w:rFonts w:ascii="Calibri" w:hAnsi="Calibri" w:cs="Calibri"/>
          <w:sz w:val="20"/>
          <w:szCs w:val="20"/>
        </w:rPr>
        <w:t>annual</w:t>
      </w:r>
      <w:r w:rsidR="006E6C20" w:rsidRPr="006E6C20">
        <w:rPr>
          <w:rFonts w:ascii="Calibri" w:hAnsi="Calibri" w:cs="Calibri"/>
          <w:sz w:val="20"/>
          <w:szCs w:val="20"/>
        </w:rPr>
        <w:t xml:space="preserve"> sustaining budget for the Odyssey Program</w:t>
      </w:r>
      <w:r w:rsidR="00EB7BE2">
        <w:rPr>
          <w:rFonts w:ascii="Calibri" w:hAnsi="Calibri" w:cs="Calibri"/>
          <w:sz w:val="20"/>
          <w:szCs w:val="20"/>
        </w:rPr>
        <w:t>,</w:t>
      </w:r>
      <w:r w:rsidR="006E6C20" w:rsidRPr="006E6C20">
        <w:rPr>
          <w:rFonts w:ascii="Calibri" w:hAnsi="Calibri" w:cs="Calibri"/>
          <w:sz w:val="20"/>
          <w:szCs w:val="20"/>
        </w:rPr>
        <w:t xml:space="preserve"> </w:t>
      </w:r>
      <w:r w:rsidR="00EB7BE2">
        <w:rPr>
          <w:rFonts w:ascii="Calibri" w:hAnsi="Calibri" w:cs="Calibri"/>
          <w:sz w:val="20"/>
          <w:szCs w:val="20"/>
        </w:rPr>
        <w:t>averaged over its 3-</w:t>
      </w:r>
      <w:r w:rsidR="006E6C20">
        <w:rPr>
          <w:rFonts w:ascii="Calibri" w:hAnsi="Calibri" w:cs="Calibri"/>
          <w:sz w:val="20"/>
          <w:szCs w:val="20"/>
        </w:rPr>
        <w:t>year</w:t>
      </w:r>
      <w:r w:rsidR="00EB7BE2">
        <w:rPr>
          <w:rFonts w:ascii="Calibri" w:hAnsi="Calibri" w:cs="Calibri"/>
          <w:sz w:val="20"/>
          <w:szCs w:val="20"/>
        </w:rPr>
        <w:t xml:space="preserve"> rolling</w:t>
      </w:r>
      <w:r w:rsidR="006E6C20">
        <w:rPr>
          <w:rFonts w:ascii="Calibri" w:hAnsi="Calibri" w:cs="Calibri"/>
          <w:sz w:val="20"/>
          <w:szCs w:val="20"/>
        </w:rPr>
        <w:t xml:space="preserve"> curriculum</w:t>
      </w:r>
      <w:r w:rsidR="00EB7BE2">
        <w:rPr>
          <w:rFonts w:ascii="Calibri" w:hAnsi="Calibri" w:cs="Calibri"/>
          <w:sz w:val="20"/>
          <w:szCs w:val="20"/>
        </w:rPr>
        <w:t xml:space="preserve">, </w:t>
      </w:r>
      <w:r w:rsidR="006E6C20" w:rsidRPr="006E6C20">
        <w:rPr>
          <w:rFonts w:ascii="Calibri" w:hAnsi="Calibri" w:cs="Calibri"/>
          <w:sz w:val="20"/>
          <w:szCs w:val="20"/>
        </w:rPr>
        <w:t xml:space="preserve">is </w:t>
      </w:r>
      <w:r w:rsidR="00EB7BE2">
        <w:rPr>
          <w:rFonts w:ascii="Calibri" w:hAnsi="Calibri" w:cs="Calibri"/>
          <w:sz w:val="20"/>
          <w:szCs w:val="20"/>
        </w:rPr>
        <w:t>about</w:t>
      </w:r>
      <w:r w:rsidR="006E6C20" w:rsidRPr="006E6C20">
        <w:rPr>
          <w:rFonts w:ascii="Calibri" w:hAnsi="Calibri" w:cs="Calibri"/>
          <w:sz w:val="20"/>
          <w:szCs w:val="20"/>
        </w:rPr>
        <w:t xml:space="preserve"> </w:t>
      </w:r>
      <w:r w:rsidR="00AF5D55">
        <w:rPr>
          <w:rFonts w:ascii="Calibri" w:hAnsi="Calibri" w:cs="Calibri"/>
          <w:sz w:val="20"/>
          <w:szCs w:val="20"/>
        </w:rPr>
        <w:t>$</w:t>
      </w:r>
      <w:r w:rsidR="009468FF">
        <w:rPr>
          <w:rFonts w:ascii="Calibri" w:hAnsi="Calibri" w:cs="Calibri"/>
          <w:sz w:val="20"/>
          <w:szCs w:val="20"/>
        </w:rPr>
        <w:t xml:space="preserve">120K. </w:t>
      </w:r>
      <w:r w:rsidR="006E6C20" w:rsidRPr="006E6C20">
        <w:rPr>
          <w:rFonts w:ascii="Calibri" w:hAnsi="Calibri" w:cs="Calibri"/>
          <w:sz w:val="20"/>
          <w:szCs w:val="20"/>
        </w:rPr>
        <w:t xml:space="preserve">Fundraising provides about </w:t>
      </w:r>
      <w:r w:rsidR="00AF5D55">
        <w:rPr>
          <w:rFonts w:ascii="Calibri" w:hAnsi="Calibri" w:cs="Calibri"/>
          <w:sz w:val="20"/>
          <w:szCs w:val="20"/>
        </w:rPr>
        <w:t>$</w:t>
      </w:r>
      <w:r w:rsidR="009468FF">
        <w:rPr>
          <w:rFonts w:ascii="Calibri" w:hAnsi="Calibri" w:cs="Calibri"/>
          <w:sz w:val="20"/>
          <w:szCs w:val="20"/>
        </w:rPr>
        <w:t>5K/</w:t>
      </w:r>
      <w:r>
        <w:rPr>
          <w:rFonts w:ascii="Calibri" w:hAnsi="Calibri" w:cs="Calibri"/>
          <w:sz w:val="20"/>
          <w:szCs w:val="20"/>
        </w:rPr>
        <w:t xml:space="preserve">year, Corporate </w:t>
      </w:r>
      <w:r w:rsidR="009468FF">
        <w:rPr>
          <w:rFonts w:ascii="Calibri" w:hAnsi="Calibri" w:cs="Calibri"/>
          <w:sz w:val="20"/>
          <w:szCs w:val="20"/>
        </w:rPr>
        <w:t xml:space="preserve">Match may </w:t>
      </w:r>
      <w:r w:rsidR="006E6C20" w:rsidRPr="006E6C20">
        <w:rPr>
          <w:rFonts w:ascii="Calibri" w:hAnsi="Calibri" w:cs="Calibri"/>
          <w:sz w:val="20"/>
          <w:szCs w:val="20"/>
        </w:rPr>
        <w:t xml:space="preserve">provide another </w:t>
      </w:r>
      <w:r w:rsidR="00AF5D55">
        <w:rPr>
          <w:rFonts w:ascii="Calibri" w:hAnsi="Calibri" w:cs="Calibri"/>
          <w:sz w:val="20"/>
          <w:szCs w:val="20"/>
        </w:rPr>
        <w:t>$</w:t>
      </w:r>
      <w:r>
        <w:rPr>
          <w:rFonts w:ascii="Calibri" w:hAnsi="Calibri" w:cs="Calibri"/>
          <w:sz w:val="20"/>
          <w:szCs w:val="20"/>
        </w:rPr>
        <w:t>6-8K</w:t>
      </w:r>
      <w:r w:rsidR="006E6C20" w:rsidRPr="006E6C20">
        <w:rPr>
          <w:rFonts w:ascii="Calibri" w:hAnsi="Calibri" w:cs="Calibri"/>
          <w:sz w:val="20"/>
          <w:szCs w:val="20"/>
        </w:rPr>
        <w:t>,</w:t>
      </w:r>
      <w:r w:rsidR="006E6C20">
        <w:rPr>
          <w:rFonts w:ascii="Calibri" w:hAnsi="Calibri" w:cs="Calibri"/>
          <w:sz w:val="20"/>
          <w:szCs w:val="20"/>
        </w:rPr>
        <w:t xml:space="preserve"> </w:t>
      </w:r>
      <w:r w:rsidR="006E6C20" w:rsidRPr="006E6C20">
        <w:rPr>
          <w:rFonts w:ascii="Calibri" w:hAnsi="Calibri" w:cs="Calibri"/>
          <w:sz w:val="20"/>
          <w:szCs w:val="20"/>
        </w:rPr>
        <w:t>and ticket sales/</w:t>
      </w:r>
      <w:r w:rsidR="009468FF">
        <w:rPr>
          <w:rFonts w:ascii="Calibri" w:hAnsi="Calibri" w:cs="Calibri"/>
          <w:sz w:val="20"/>
          <w:szCs w:val="20"/>
        </w:rPr>
        <w:t xml:space="preserve"> </w:t>
      </w:r>
      <w:r w:rsidR="006E6C20" w:rsidRPr="006E6C20">
        <w:rPr>
          <w:rFonts w:ascii="Calibri" w:hAnsi="Calibri" w:cs="Calibri"/>
          <w:sz w:val="20"/>
          <w:szCs w:val="20"/>
        </w:rPr>
        <w:t>donations f</w:t>
      </w:r>
      <w:r w:rsidR="006E6C20">
        <w:rPr>
          <w:rFonts w:ascii="Calibri" w:hAnsi="Calibri" w:cs="Calibri"/>
          <w:sz w:val="20"/>
          <w:szCs w:val="20"/>
        </w:rPr>
        <w:t xml:space="preserve">rom performances and </w:t>
      </w:r>
      <w:r>
        <w:rPr>
          <w:rFonts w:ascii="Calibri" w:hAnsi="Calibri" w:cs="Calibri"/>
          <w:sz w:val="20"/>
          <w:szCs w:val="20"/>
        </w:rPr>
        <w:t>guild fair/invention fair income (only some years)</w:t>
      </w:r>
      <w:r w:rsidR="006E6C2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may yield</w:t>
      </w:r>
      <w:r w:rsidR="006E6C20" w:rsidRPr="006E6C20">
        <w:rPr>
          <w:rFonts w:ascii="Calibri" w:hAnsi="Calibri" w:cs="Calibri"/>
          <w:sz w:val="20"/>
          <w:szCs w:val="20"/>
        </w:rPr>
        <w:t xml:space="preserve"> another </w:t>
      </w:r>
      <w:r w:rsidR="00AF5D55">
        <w:rPr>
          <w:rFonts w:ascii="Calibri" w:hAnsi="Calibri" w:cs="Calibri"/>
          <w:sz w:val="20"/>
          <w:szCs w:val="20"/>
        </w:rPr>
        <w:t>$</w:t>
      </w:r>
      <w:r w:rsidR="009468FF">
        <w:rPr>
          <w:rFonts w:ascii="Calibri" w:hAnsi="Calibri" w:cs="Calibri"/>
          <w:sz w:val="20"/>
          <w:szCs w:val="20"/>
        </w:rPr>
        <w:t>2.5-</w:t>
      </w:r>
      <w:r>
        <w:rPr>
          <w:rFonts w:ascii="Calibri" w:hAnsi="Calibri" w:cs="Calibri"/>
          <w:sz w:val="20"/>
          <w:szCs w:val="20"/>
        </w:rPr>
        <w:t>6</w:t>
      </w:r>
      <w:r w:rsidR="006E6C20" w:rsidRPr="006E6C20">
        <w:rPr>
          <w:rFonts w:ascii="Calibri" w:hAnsi="Calibri" w:cs="Calibri"/>
          <w:sz w:val="20"/>
          <w:szCs w:val="20"/>
        </w:rPr>
        <w:t xml:space="preserve">K. </w:t>
      </w:r>
      <w:r w:rsidR="009468FF">
        <w:rPr>
          <w:rFonts w:ascii="Calibri" w:hAnsi="Calibri" w:cs="Calibri"/>
          <w:sz w:val="20"/>
          <w:szCs w:val="20"/>
        </w:rPr>
        <w:t>In-kind donations for performance items help us, too.  That</w:t>
      </w:r>
      <w:r w:rsidR="006E6C20" w:rsidRPr="006E6C20">
        <w:rPr>
          <w:rFonts w:ascii="Calibri" w:hAnsi="Calibri" w:cs="Calibri"/>
          <w:sz w:val="20"/>
          <w:szCs w:val="20"/>
        </w:rPr>
        <w:t xml:space="preserve"> leaves us </w:t>
      </w:r>
      <w:r w:rsidR="009468FF">
        <w:rPr>
          <w:rFonts w:ascii="Calibri" w:hAnsi="Calibri" w:cs="Calibri"/>
          <w:sz w:val="20"/>
          <w:szCs w:val="20"/>
        </w:rPr>
        <w:t>approximately</w:t>
      </w:r>
      <w:r w:rsidR="006E6C20" w:rsidRPr="006E6C20">
        <w:rPr>
          <w:rFonts w:ascii="Calibri" w:hAnsi="Calibri" w:cs="Calibri"/>
          <w:sz w:val="20"/>
          <w:szCs w:val="20"/>
        </w:rPr>
        <w:t xml:space="preserve"> $100,000 to </w:t>
      </w:r>
      <w:r w:rsidR="00EB7BE2">
        <w:rPr>
          <w:rFonts w:ascii="Calibri" w:hAnsi="Calibri" w:cs="Calibri"/>
          <w:sz w:val="20"/>
          <w:szCs w:val="20"/>
        </w:rPr>
        <w:t>find</w:t>
      </w:r>
      <w:r w:rsidR="006E6C20">
        <w:rPr>
          <w:rFonts w:ascii="Calibri" w:hAnsi="Calibri" w:cs="Calibri"/>
          <w:sz w:val="20"/>
          <w:szCs w:val="20"/>
        </w:rPr>
        <w:t xml:space="preserve"> each year</w:t>
      </w:r>
      <w:r w:rsidR="006E6C20" w:rsidRPr="006E6C20">
        <w:rPr>
          <w:rFonts w:ascii="Calibri" w:hAnsi="Calibri" w:cs="Calibri"/>
          <w:sz w:val="20"/>
          <w:szCs w:val="20"/>
        </w:rPr>
        <w:t xml:space="preserve"> through Direct Giving.  </w:t>
      </w:r>
    </w:p>
    <w:p w14:paraId="1C2C2C51" w14:textId="77777777" w:rsidR="007E59D2" w:rsidRDefault="007E59D2" w:rsidP="004950E3">
      <w:pPr>
        <w:spacing w:line="120" w:lineRule="exact"/>
        <w:rPr>
          <w:rFonts w:ascii="Calibri" w:hAnsi="Calibri" w:cs="Calibri"/>
          <w:sz w:val="20"/>
          <w:szCs w:val="20"/>
        </w:rPr>
      </w:pPr>
    </w:p>
    <w:p w14:paraId="65ACEB1A" w14:textId="77777777" w:rsidR="006E6C20" w:rsidRPr="00E02389" w:rsidRDefault="009468FF" w:rsidP="002A5DF8">
      <w:pPr>
        <w:spacing w:line="22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We</w:t>
      </w:r>
      <w:r w:rsidR="007E59D2">
        <w:rPr>
          <w:rFonts w:ascii="Calibri" w:hAnsi="Calibri" w:cs="Calibri"/>
          <w:sz w:val="20"/>
          <w:szCs w:val="20"/>
        </w:rPr>
        <w:t xml:space="preserve"> need to </w:t>
      </w:r>
      <w:r w:rsidR="006E6C20" w:rsidRPr="006E6C20">
        <w:rPr>
          <w:rFonts w:ascii="Calibri" w:hAnsi="Calibri" w:cs="Calibri"/>
          <w:sz w:val="20"/>
          <w:szCs w:val="20"/>
        </w:rPr>
        <w:t xml:space="preserve">raise </w:t>
      </w:r>
      <w:r w:rsidR="007E59D2">
        <w:rPr>
          <w:rFonts w:ascii="Calibri" w:hAnsi="Calibri" w:cs="Calibri"/>
          <w:sz w:val="20"/>
          <w:szCs w:val="20"/>
        </w:rPr>
        <w:t xml:space="preserve">about </w:t>
      </w:r>
      <w:r w:rsidR="00A936AB">
        <w:rPr>
          <w:rFonts w:ascii="Calibri" w:hAnsi="Calibri" w:cs="Calibri"/>
          <w:sz w:val="20"/>
          <w:szCs w:val="20"/>
        </w:rPr>
        <w:t>$</w:t>
      </w:r>
      <w:r w:rsidR="007E59D2">
        <w:rPr>
          <w:rFonts w:ascii="Calibri" w:hAnsi="Calibri" w:cs="Calibri"/>
          <w:sz w:val="20"/>
          <w:szCs w:val="20"/>
        </w:rPr>
        <w:t xml:space="preserve">100K if we want to fully fund the program and save a small amount toward future growth or program innovation. </w:t>
      </w:r>
      <w:r w:rsidR="00674ACF">
        <w:rPr>
          <w:rFonts w:ascii="Calibri" w:hAnsi="Calibri" w:cs="Calibri"/>
          <w:sz w:val="20"/>
          <w:szCs w:val="20"/>
        </w:rPr>
        <w:t>You can see Odyssey</w:t>
      </w:r>
      <w:r w:rsidR="005C5C2D">
        <w:rPr>
          <w:rFonts w:ascii="Calibri" w:hAnsi="Calibri" w:cs="Calibri"/>
          <w:sz w:val="20"/>
          <w:szCs w:val="20"/>
        </w:rPr>
        <w:t xml:space="preserve"> budgets on the Odyssey website once web updates are complete. Until then, c</w:t>
      </w:r>
      <w:r w:rsidR="00536D80">
        <w:rPr>
          <w:rFonts w:ascii="Calibri" w:hAnsi="Calibri" w:cs="Calibri"/>
          <w:sz w:val="20"/>
          <w:szCs w:val="20"/>
        </w:rPr>
        <w:t xml:space="preserve">ontact Ron </w:t>
      </w:r>
      <w:proofErr w:type="spellStart"/>
      <w:r w:rsidR="00536D80">
        <w:rPr>
          <w:rFonts w:ascii="Calibri" w:hAnsi="Calibri" w:cs="Calibri"/>
          <w:sz w:val="20"/>
          <w:szCs w:val="20"/>
        </w:rPr>
        <w:t>Burian</w:t>
      </w:r>
      <w:proofErr w:type="spellEnd"/>
      <w:r w:rsidR="00536D80">
        <w:rPr>
          <w:rFonts w:ascii="Calibri" w:hAnsi="Calibri" w:cs="Calibri"/>
          <w:sz w:val="20"/>
          <w:szCs w:val="20"/>
        </w:rPr>
        <w:t xml:space="preserve"> (ronburian@yahoo.com)</w:t>
      </w:r>
      <w:r w:rsidR="005C5C2D">
        <w:rPr>
          <w:rFonts w:ascii="Calibri" w:hAnsi="Calibri" w:cs="Calibri"/>
          <w:sz w:val="20"/>
          <w:szCs w:val="20"/>
        </w:rPr>
        <w:t xml:space="preserve"> to receive the most recent budget</w:t>
      </w:r>
      <w:r w:rsidR="007E59D2">
        <w:rPr>
          <w:rFonts w:ascii="Calibri" w:hAnsi="Calibri" w:cs="Calibri"/>
          <w:sz w:val="20"/>
          <w:szCs w:val="20"/>
        </w:rPr>
        <w:t>.</w:t>
      </w:r>
      <w:r w:rsidR="00E02389">
        <w:rPr>
          <w:rFonts w:ascii="Calibri" w:hAnsi="Calibri" w:cs="Calibri"/>
          <w:sz w:val="20"/>
          <w:szCs w:val="20"/>
        </w:rPr>
        <w:t xml:space="preserve"> </w:t>
      </w:r>
      <w:r w:rsidR="00E02389" w:rsidRPr="00E02389">
        <w:rPr>
          <w:rFonts w:asciiTheme="minorHAnsi" w:hAnsiTheme="minorHAnsi" w:cstheme="minorHAnsi"/>
          <w:sz w:val="20"/>
          <w:szCs w:val="20"/>
        </w:rPr>
        <w:t>Accountability, clarity, and transparency are critical goals for us.</w:t>
      </w:r>
    </w:p>
    <w:p w14:paraId="35C42FD2" w14:textId="77777777" w:rsidR="006E6C20" w:rsidRPr="006E6C20" w:rsidRDefault="006E6C20" w:rsidP="004950E3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26B49EE" w14:textId="77777777" w:rsidR="00E314E1" w:rsidRPr="00E314E1" w:rsidRDefault="00FC12F4" w:rsidP="002A5DF8">
      <w:pPr>
        <w:spacing w:line="22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100%</w:t>
      </w:r>
      <w:r w:rsidR="00C12188" w:rsidRPr="006E6C20">
        <w:rPr>
          <w:rFonts w:asciiTheme="minorHAnsi" w:hAnsiTheme="minorHAnsi" w:cstheme="minorHAnsi"/>
          <w:b/>
          <w:sz w:val="20"/>
          <w:szCs w:val="20"/>
        </w:rPr>
        <w:t xml:space="preserve"> of your Direct Giving contribution</w:t>
      </w:r>
      <w:r>
        <w:rPr>
          <w:rFonts w:asciiTheme="minorHAnsi" w:hAnsiTheme="minorHAnsi" w:cstheme="minorHAnsi"/>
          <w:b/>
          <w:sz w:val="20"/>
          <w:szCs w:val="20"/>
        </w:rPr>
        <w:t>*</w:t>
      </w:r>
      <w:r w:rsidR="00C12188" w:rsidRPr="006E6C20">
        <w:rPr>
          <w:rFonts w:asciiTheme="minorHAnsi" w:hAnsiTheme="minorHAnsi" w:cstheme="minorHAnsi"/>
          <w:b/>
          <w:sz w:val="20"/>
          <w:szCs w:val="20"/>
        </w:rPr>
        <w:t xml:space="preserve"> goes d</w:t>
      </w:r>
      <w:r w:rsidR="006F72A0">
        <w:rPr>
          <w:rFonts w:asciiTheme="minorHAnsi" w:hAnsiTheme="minorHAnsi" w:cstheme="minorHAnsi"/>
          <w:b/>
          <w:sz w:val="20"/>
          <w:szCs w:val="20"/>
        </w:rPr>
        <w:t>irectly to the Odyssey program!</w:t>
      </w:r>
      <w:r w:rsidR="00C12188" w:rsidRPr="006E6C2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14E1" w:rsidRPr="00E314E1">
        <w:rPr>
          <w:rFonts w:asciiTheme="minorHAnsi" w:hAnsiTheme="minorHAnsi" w:cstheme="minorHAnsi"/>
          <w:sz w:val="20"/>
          <w:szCs w:val="20"/>
        </w:rPr>
        <w:t>Though your checks are made out to “Hayhurst PTA”</w:t>
      </w:r>
      <w:r w:rsidR="00E314E1">
        <w:rPr>
          <w:rFonts w:asciiTheme="minorHAnsi" w:hAnsiTheme="minorHAnsi" w:cstheme="minorHAnsi"/>
          <w:sz w:val="20"/>
          <w:szCs w:val="20"/>
        </w:rPr>
        <w:t xml:space="preserve">, </w:t>
      </w:r>
      <w:r w:rsidR="00E314E1" w:rsidRPr="00E314E1">
        <w:rPr>
          <w:rFonts w:asciiTheme="minorHAnsi" w:hAnsiTheme="minorHAnsi" w:cstheme="minorHAnsi"/>
          <w:sz w:val="20"/>
          <w:szCs w:val="20"/>
        </w:rPr>
        <w:t>Odyssey maintains its own</w:t>
      </w:r>
      <w:r w:rsidR="00E314E1">
        <w:rPr>
          <w:rFonts w:asciiTheme="minorHAnsi" w:hAnsiTheme="minorHAnsi" w:cstheme="minorHAnsi"/>
          <w:sz w:val="20"/>
          <w:szCs w:val="20"/>
        </w:rPr>
        <w:t>,</w:t>
      </w:r>
      <w:r w:rsidR="00E314E1" w:rsidRPr="00E314E1">
        <w:rPr>
          <w:rFonts w:asciiTheme="minorHAnsi" w:hAnsiTheme="minorHAnsi" w:cstheme="minorHAnsi"/>
          <w:sz w:val="20"/>
          <w:szCs w:val="20"/>
        </w:rPr>
        <w:t xml:space="preserve"> separate </w:t>
      </w:r>
      <w:r w:rsidR="007E59D2">
        <w:rPr>
          <w:rFonts w:asciiTheme="minorHAnsi" w:hAnsiTheme="minorHAnsi" w:cstheme="minorHAnsi"/>
          <w:sz w:val="20"/>
          <w:szCs w:val="20"/>
        </w:rPr>
        <w:t>books and</w:t>
      </w:r>
      <w:r w:rsidR="00E314E1">
        <w:rPr>
          <w:rFonts w:asciiTheme="minorHAnsi" w:hAnsiTheme="minorHAnsi" w:cstheme="minorHAnsi"/>
          <w:sz w:val="20"/>
          <w:szCs w:val="20"/>
        </w:rPr>
        <w:t xml:space="preserve"> tracks all income and spending </w:t>
      </w:r>
      <w:r w:rsidR="007E59D2">
        <w:rPr>
          <w:rFonts w:asciiTheme="minorHAnsi" w:hAnsiTheme="minorHAnsi" w:cstheme="minorHAnsi"/>
          <w:sz w:val="20"/>
          <w:szCs w:val="20"/>
        </w:rPr>
        <w:t>carefully for Odyssey</w:t>
      </w:r>
      <w:r w:rsidR="006F72A0">
        <w:rPr>
          <w:rFonts w:asciiTheme="minorHAnsi" w:hAnsiTheme="minorHAnsi" w:cstheme="minorHAnsi"/>
          <w:sz w:val="20"/>
          <w:szCs w:val="20"/>
        </w:rPr>
        <w:t xml:space="preserve">. </w:t>
      </w:r>
      <w:r w:rsidR="00E314E1" w:rsidRPr="00E314E1">
        <w:rPr>
          <w:rFonts w:asciiTheme="minorHAnsi" w:hAnsiTheme="minorHAnsi" w:cstheme="minorHAnsi"/>
          <w:sz w:val="20"/>
          <w:szCs w:val="20"/>
        </w:rPr>
        <w:t>Al</w:t>
      </w:r>
      <w:r w:rsidR="006F72A0">
        <w:rPr>
          <w:rFonts w:asciiTheme="minorHAnsi" w:hAnsiTheme="minorHAnsi" w:cstheme="minorHAnsi"/>
          <w:sz w:val="20"/>
          <w:szCs w:val="20"/>
        </w:rPr>
        <w:t>so, donations may be</w:t>
      </w:r>
      <w:r w:rsidR="00E314E1" w:rsidRPr="00E314E1">
        <w:rPr>
          <w:rFonts w:asciiTheme="minorHAnsi" w:hAnsiTheme="minorHAnsi" w:cstheme="minorHAnsi"/>
          <w:sz w:val="20"/>
          <w:szCs w:val="20"/>
        </w:rPr>
        <w:t xml:space="preserve"> TAX-DEDUCTIBLE and </w:t>
      </w:r>
      <w:r w:rsidR="00603F1C">
        <w:rPr>
          <w:rFonts w:asciiTheme="minorHAnsi" w:hAnsiTheme="minorHAnsi" w:cstheme="minorHAnsi"/>
          <w:sz w:val="20"/>
          <w:szCs w:val="20"/>
        </w:rPr>
        <w:t>you can</w:t>
      </w:r>
      <w:r w:rsidR="00E314E1">
        <w:rPr>
          <w:rFonts w:asciiTheme="minorHAnsi" w:hAnsiTheme="minorHAnsi" w:cstheme="minorHAnsi"/>
          <w:sz w:val="20"/>
          <w:szCs w:val="20"/>
        </w:rPr>
        <w:t xml:space="preserve"> get a receipt for tax purposes!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C12F4">
        <w:rPr>
          <w:rFonts w:asciiTheme="minorHAnsi" w:hAnsiTheme="minorHAnsi" w:cstheme="minorHAnsi"/>
          <w:sz w:val="14"/>
          <w:szCs w:val="14"/>
        </w:rPr>
        <w:t>(*</w:t>
      </w:r>
      <w:r>
        <w:rPr>
          <w:rFonts w:asciiTheme="minorHAnsi" w:hAnsiTheme="minorHAnsi" w:cstheme="minorHAnsi"/>
          <w:sz w:val="14"/>
          <w:szCs w:val="14"/>
        </w:rPr>
        <w:t>except approx. 3% credit card charge/Arts People fee)</w:t>
      </w:r>
    </w:p>
    <w:p w14:paraId="2900039B" w14:textId="77777777" w:rsidR="00E314E1" w:rsidRDefault="00E314E1" w:rsidP="004950E3">
      <w:pPr>
        <w:spacing w:line="120" w:lineRule="exac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972A7A" w14:textId="77777777" w:rsidR="00E314E1" w:rsidRPr="00A90714" w:rsidRDefault="00A90714" w:rsidP="00E314E1">
      <w:pPr>
        <w:rPr>
          <w:rFonts w:asciiTheme="minorHAnsi" w:hAnsiTheme="minorHAnsi" w:cstheme="minorHAnsi"/>
          <w:b/>
        </w:rPr>
      </w:pPr>
      <w:r w:rsidRPr="00A90714">
        <w:rPr>
          <w:rFonts w:asciiTheme="minorHAnsi" w:hAnsiTheme="minorHAnsi" w:cstheme="minorHAnsi"/>
          <w:b/>
        </w:rPr>
        <w:t>The Direct Giving Request</w:t>
      </w:r>
    </w:p>
    <w:p w14:paraId="424543A4" w14:textId="77777777" w:rsidR="00E314E1" w:rsidRPr="00E314E1" w:rsidRDefault="00E314E1" w:rsidP="002A5DF8">
      <w:pPr>
        <w:spacing w:line="22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suggested baseline amount for direct giving is constructed </w:t>
      </w:r>
      <w:r w:rsidR="00D95455">
        <w:rPr>
          <w:rFonts w:asciiTheme="minorHAnsi" w:hAnsiTheme="minorHAnsi" w:cstheme="minorHAnsi"/>
          <w:sz w:val="20"/>
          <w:szCs w:val="20"/>
        </w:rPr>
        <w:t>using</w:t>
      </w:r>
      <w:r w:rsidR="00EB7BE2">
        <w:rPr>
          <w:rFonts w:asciiTheme="minorHAnsi" w:hAnsiTheme="minorHAnsi" w:cstheme="minorHAnsi"/>
          <w:sz w:val="20"/>
          <w:szCs w:val="20"/>
        </w:rPr>
        <w:t xml:space="preserve"> a formula that </w:t>
      </w:r>
      <w:r w:rsidR="001F6130">
        <w:rPr>
          <w:rFonts w:asciiTheme="minorHAnsi" w:hAnsiTheme="minorHAnsi" w:cstheme="minorHAnsi"/>
          <w:sz w:val="20"/>
          <w:szCs w:val="20"/>
        </w:rPr>
        <w:t xml:space="preserve">is based on the </w:t>
      </w:r>
      <w:r w:rsidR="00EB7BE2">
        <w:rPr>
          <w:rFonts w:asciiTheme="minorHAnsi" w:hAnsiTheme="minorHAnsi" w:cstheme="minorHAnsi"/>
          <w:sz w:val="20"/>
          <w:szCs w:val="20"/>
        </w:rPr>
        <w:t xml:space="preserve">average </w:t>
      </w:r>
      <w:r w:rsidR="007C3084">
        <w:rPr>
          <w:rFonts w:asciiTheme="minorHAnsi" w:hAnsiTheme="minorHAnsi" w:cstheme="minorHAnsi"/>
          <w:sz w:val="20"/>
          <w:szCs w:val="20"/>
        </w:rPr>
        <w:t>$</w:t>
      </w:r>
      <w:r w:rsidR="00EB7BE2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20K </w:t>
      </w:r>
      <w:r w:rsidR="00EB7BE2">
        <w:rPr>
          <w:rFonts w:asciiTheme="minorHAnsi" w:hAnsiTheme="minorHAnsi" w:cstheme="minorHAnsi"/>
          <w:sz w:val="20"/>
          <w:szCs w:val="20"/>
        </w:rPr>
        <w:t xml:space="preserve">sustaining </w:t>
      </w:r>
      <w:r>
        <w:rPr>
          <w:rFonts w:asciiTheme="minorHAnsi" w:hAnsiTheme="minorHAnsi" w:cstheme="minorHAnsi"/>
          <w:sz w:val="20"/>
          <w:szCs w:val="20"/>
        </w:rPr>
        <w:t xml:space="preserve">budget, estimates of what other income streams can generate, and assumptions about how many families will give and how much they will give.  </w:t>
      </w:r>
      <w:r w:rsidR="007E59D2">
        <w:rPr>
          <w:rFonts w:asciiTheme="minorHAnsi" w:hAnsiTheme="minorHAnsi" w:cstheme="minorHAnsi"/>
          <w:sz w:val="20"/>
          <w:szCs w:val="20"/>
        </w:rPr>
        <w:t xml:space="preserve">Our Giving Request has </w:t>
      </w:r>
      <w:r>
        <w:rPr>
          <w:rFonts w:asciiTheme="minorHAnsi" w:hAnsiTheme="minorHAnsi" w:cstheme="minorHAnsi"/>
          <w:sz w:val="20"/>
          <w:szCs w:val="20"/>
        </w:rPr>
        <w:t xml:space="preserve">two parts:  </w:t>
      </w:r>
    </w:p>
    <w:p w14:paraId="7640C2B1" w14:textId="77777777" w:rsidR="00E314E1" w:rsidRPr="00E314E1" w:rsidRDefault="00E314E1" w:rsidP="002A5DF8">
      <w:pPr>
        <w:pStyle w:val="ListParagraph"/>
        <w:numPr>
          <w:ilvl w:val="0"/>
          <w:numId w:val="3"/>
        </w:numPr>
        <w:spacing w:line="220" w:lineRule="exact"/>
        <w:rPr>
          <w:rFonts w:asciiTheme="minorHAnsi" w:hAnsiTheme="minorHAnsi" w:cstheme="minorHAnsi"/>
          <w:sz w:val="20"/>
          <w:szCs w:val="20"/>
        </w:rPr>
      </w:pPr>
      <w:r w:rsidRPr="00E314E1">
        <w:rPr>
          <w:rFonts w:asciiTheme="minorHAnsi" w:hAnsiTheme="minorHAnsi" w:cstheme="minorHAnsi"/>
          <w:sz w:val="20"/>
          <w:szCs w:val="20"/>
          <w:u w:val="single"/>
        </w:rPr>
        <w:t>General Expenses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E314E1">
        <w:rPr>
          <w:rFonts w:asciiTheme="minorHAnsi" w:hAnsiTheme="minorHAnsi" w:cstheme="minorHAnsi"/>
          <w:sz w:val="20"/>
          <w:szCs w:val="20"/>
        </w:rPr>
        <w:t xml:space="preserve">Your share of the </w:t>
      </w:r>
      <w:r>
        <w:rPr>
          <w:rFonts w:asciiTheme="minorHAnsi" w:hAnsiTheme="minorHAnsi" w:cstheme="minorHAnsi"/>
          <w:sz w:val="20"/>
          <w:szCs w:val="20"/>
        </w:rPr>
        <w:t xml:space="preserve">foundational program costs </w:t>
      </w:r>
      <w:r w:rsidRPr="00E314E1">
        <w:rPr>
          <w:rFonts w:asciiTheme="minorHAnsi" w:hAnsiTheme="minorHAnsi" w:cstheme="minorHAnsi"/>
          <w:sz w:val="20"/>
          <w:szCs w:val="20"/>
        </w:rPr>
        <w:t xml:space="preserve">to run the program </w:t>
      </w:r>
      <w:r>
        <w:rPr>
          <w:rFonts w:asciiTheme="minorHAnsi" w:hAnsiTheme="minorHAnsi" w:cstheme="minorHAnsi"/>
          <w:sz w:val="20"/>
          <w:szCs w:val="20"/>
        </w:rPr>
        <w:t xml:space="preserve">for your student </w:t>
      </w:r>
      <w:r w:rsidRPr="00E314E1">
        <w:rPr>
          <w:rFonts w:asciiTheme="minorHAnsi" w:hAnsiTheme="minorHAnsi" w:cstheme="minorHAnsi"/>
          <w:sz w:val="20"/>
          <w:szCs w:val="20"/>
        </w:rPr>
        <w:t xml:space="preserve">(curriculum, classroom and activity expenses, and basic program support) </w:t>
      </w:r>
    </w:p>
    <w:p w14:paraId="2D79FCFC" w14:textId="77777777" w:rsidR="00E314E1" w:rsidRPr="00E314E1" w:rsidRDefault="00E314E1" w:rsidP="002A5DF8">
      <w:pPr>
        <w:pStyle w:val="ListParagraph"/>
        <w:numPr>
          <w:ilvl w:val="0"/>
          <w:numId w:val="3"/>
        </w:numPr>
        <w:spacing w:line="220" w:lineRule="exact"/>
        <w:rPr>
          <w:rFonts w:asciiTheme="minorHAnsi" w:hAnsiTheme="minorHAnsi" w:cstheme="minorHAnsi"/>
          <w:sz w:val="20"/>
          <w:szCs w:val="20"/>
        </w:rPr>
      </w:pPr>
      <w:r w:rsidRPr="00E314E1">
        <w:rPr>
          <w:rFonts w:asciiTheme="minorHAnsi" w:hAnsiTheme="minorHAnsi" w:cstheme="minorHAnsi"/>
          <w:sz w:val="20"/>
          <w:szCs w:val="20"/>
          <w:u w:val="single"/>
        </w:rPr>
        <w:t>Enrichment Expenses</w:t>
      </w:r>
      <w:r>
        <w:rPr>
          <w:rFonts w:asciiTheme="minorHAnsi" w:hAnsiTheme="minorHAnsi" w:cstheme="minorHAnsi"/>
          <w:sz w:val="20"/>
          <w:szCs w:val="20"/>
        </w:rPr>
        <w:t xml:space="preserve">:  </w:t>
      </w:r>
      <w:r w:rsidRPr="00E314E1">
        <w:rPr>
          <w:rFonts w:asciiTheme="minorHAnsi" w:hAnsiTheme="minorHAnsi" w:cstheme="minorHAnsi"/>
          <w:sz w:val="20"/>
          <w:szCs w:val="20"/>
        </w:rPr>
        <w:t xml:space="preserve">Your share of </w:t>
      </w:r>
      <w:r>
        <w:rPr>
          <w:rFonts w:asciiTheme="minorHAnsi" w:hAnsiTheme="minorHAnsi" w:cstheme="minorHAnsi"/>
          <w:sz w:val="20"/>
          <w:szCs w:val="20"/>
        </w:rPr>
        <w:t>the co</w:t>
      </w:r>
      <w:r w:rsidRPr="00E314E1">
        <w:rPr>
          <w:rFonts w:asciiTheme="minorHAnsi" w:hAnsiTheme="minorHAnsi" w:cstheme="minorHAnsi"/>
          <w:sz w:val="20"/>
          <w:szCs w:val="20"/>
        </w:rPr>
        <w:t xml:space="preserve">sts for the enrichment experiences your child will </w:t>
      </w:r>
      <w:r>
        <w:rPr>
          <w:rFonts w:asciiTheme="minorHAnsi" w:hAnsiTheme="minorHAnsi" w:cstheme="minorHAnsi"/>
          <w:sz w:val="20"/>
          <w:szCs w:val="20"/>
        </w:rPr>
        <w:t xml:space="preserve">have </w:t>
      </w:r>
      <w:r w:rsidRPr="00E314E1">
        <w:rPr>
          <w:rFonts w:asciiTheme="minorHAnsi" w:hAnsiTheme="minorHAnsi" w:cstheme="minorHAnsi"/>
          <w:sz w:val="20"/>
          <w:szCs w:val="20"/>
        </w:rPr>
        <w:t>in</w:t>
      </w:r>
      <w:r>
        <w:rPr>
          <w:rFonts w:asciiTheme="minorHAnsi" w:hAnsiTheme="minorHAnsi" w:cstheme="minorHAnsi"/>
          <w:sz w:val="20"/>
          <w:szCs w:val="20"/>
        </w:rPr>
        <w:t xml:space="preserve"> their particular cluster</w:t>
      </w:r>
      <w:r w:rsidRPr="00E314E1">
        <w:rPr>
          <w:rFonts w:asciiTheme="minorHAnsi" w:hAnsiTheme="minorHAnsi" w:cstheme="minorHAnsi"/>
          <w:sz w:val="20"/>
          <w:szCs w:val="20"/>
        </w:rPr>
        <w:t xml:space="preserve"> (performances, guilds and amazing field study experiences)  </w:t>
      </w:r>
    </w:p>
    <w:p w14:paraId="3BEB0C9D" w14:textId="77777777" w:rsidR="00E314E1" w:rsidRPr="00E314E1" w:rsidRDefault="00E314E1" w:rsidP="004950E3">
      <w:pPr>
        <w:spacing w:line="120" w:lineRule="exact"/>
        <w:rPr>
          <w:rFonts w:asciiTheme="minorHAnsi" w:hAnsiTheme="minorHAnsi" w:cstheme="minorHAnsi"/>
          <w:sz w:val="20"/>
          <w:szCs w:val="20"/>
        </w:rPr>
      </w:pPr>
    </w:p>
    <w:p w14:paraId="434FBE4C" w14:textId="77777777" w:rsidR="00E314E1" w:rsidRDefault="00E314E1" w:rsidP="002A5DF8">
      <w:pPr>
        <w:spacing w:line="220" w:lineRule="exact"/>
        <w:rPr>
          <w:rFonts w:asciiTheme="minorHAnsi" w:hAnsiTheme="minorHAnsi" w:cstheme="minorHAnsi"/>
          <w:sz w:val="20"/>
          <w:szCs w:val="20"/>
        </w:rPr>
      </w:pPr>
      <w:r w:rsidRPr="00E314E1">
        <w:rPr>
          <w:rFonts w:asciiTheme="minorHAnsi" w:hAnsiTheme="minorHAnsi" w:cstheme="minorHAnsi"/>
          <w:sz w:val="20"/>
          <w:szCs w:val="20"/>
          <w:u w:val="single"/>
        </w:rPr>
        <w:t>General expenses</w:t>
      </w:r>
      <w:r w:rsidRPr="00E314E1">
        <w:rPr>
          <w:rFonts w:asciiTheme="minorHAnsi" w:hAnsiTheme="minorHAnsi" w:cstheme="minorHAnsi"/>
          <w:sz w:val="20"/>
          <w:szCs w:val="20"/>
        </w:rPr>
        <w:t xml:space="preserve"> are apportio</w:t>
      </w:r>
      <w:r w:rsidR="006F72A0">
        <w:rPr>
          <w:rFonts w:asciiTheme="minorHAnsi" w:hAnsiTheme="minorHAnsi" w:cstheme="minorHAnsi"/>
          <w:sz w:val="20"/>
          <w:szCs w:val="20"/>
        </w:rPr>
        <w:t>ned evenly across all families.</w:t>
      </w:r>
      <w:r w:rsidRPr="00E314E1">
        <w:rPr>
          <w:rFonts w:asciiTheme="minorHAnsi" w:hAnsiTheme="minorHAnsi" w:cstheme="minorHAnsi"/>
          <w:sz w:val="20"/>
          <w:szCs w:val="20"/>
        </w:rPr>
        <w:t xml:space="preserve"> </w:t>
      </w:r>
      <w:r w:rsidRPr="00E314E1">
        <w:rPr>
          <w:rFonts w:asciiTheme="minorHAnsi" w:hAnsiTheme="minorHAnsi" w:cstheme="minorHAnsi"/>
          <w:sz w:val="20"/>
          <w:szCs w:val="20"/>
          <w:u w:val="single"/>
        </w:rPr>
        <w:t>Enrichment expenses</w:t>
      </w:r>
      <w:r w:rsidRPr="00E314E1">
        <w:rPr>
          <w:rFonts w:asciiTheme="minorHAnsi" w:hAnsiTheme="minorHAnsi" w:cstheme="minorHAnsi"/>
          <w:sz w:val="20"/>
          <w:szCs w:val="20"/>
        </w:rPr>
        <w:t xml:space="preserve"> </w:t>
      </w:r>
      <w:r w:rsidR="007E59D2">
        <w:rPr>
          <w:rFonts w:asciiTheme="minorHAnsi" w:hAnsiTheme="minorHAnsi" w:cstheme="minorHAnsi"/>
          <w:sz w:val="20"/>
          <w:szCs w:val="20"/>
        </w:rPr>
        <w:t>are directly tied to your</w:t>
      </w:r>
      <w:r w:rsidRPr="00E314E1">
        <w:rPr>
          <w:rFonts w:asciiTheme="minorHAnsi" w:hAnsiTheme="minorHAnsi" w:cstheme="minorHAnsi"/>
          <w:sz w:val="20"/>
          <w:szCs w:val="20"/>
        </w:rPr>
        <w:t xml:space="preserve"> your child’s cluster and the cost of the enrichment activities in that cluster. </w:t>
      </w:r>
      <w:r w:rsidR="007E59D2">
        <w:rPr>
          <w:rFonts w:asciiTheme="minorHAnsi" w:hAnsiTheme="minorHAnsi" w:cstheme="minorHAnsi"/>
          <w:sz w:val="20"/>
          <w:szCs w:val="20"/>
        </w:rPr>
        <w:t xml:space="preserve">Please compare our Direct Giving ask to the tuition of private schools, </w:t>
      </w:r>
      <w:r w:rsidR="001F6130">
        <w:rPr>
          <w:rFonts w:asciiTheme="minorHAnsi" w:hAnsiTheme="minorHAnsi" w:cstheme="minorHAnsi"/>
          <w:sz w:val="20"/>
          <w:szCs w:val="20"/>
        </w:rPr>
        <w:t>typically $12,000 - $15,000</w:t>
      </w:r>
      <w:r w:rsidRPr="00E314E1">
        <w:rPr>
          <w:rFonts w:asciiTheme="minorHAnsi" w:hAnsiTheme="minorHAnsi" w:cstheme="minorHAnsi"/>
          <w:sz w:val="20"/>
          <w:szCs w:val="20"/>
        </w:rPr>
        <w:t xml:space="preserve"> per student per year</w:t>
      </w:r>
      <w:proofErr w:type="gramStart"/>
      <w:r w:rsidR="007E59D2">
        <w:rPr>
          <w:rFonts w:asciiTheme="minorHAnsi" w:hAnsiTheme="minorHAnsi" w:cstheme="minorHAnsi"/>
          <w:sz w:val="20"/>
          <w:szCs w:val="20"/>
        </w:rPr>
        <w:t>!</w:t>
      </w:r>
      <w:r w:rsidR="001F6130">
        <w:rPr>
          <w:rFonts w:asciiTheme="minorHAnsi" w:hAnsiTheme="minorHAnsi" w:cstheme="minorHAnsi"/>
          <w:sz w:val="20"/>
          <w:szCs w:val="20"/>
        </w:rPr>
        <w:t>!</w:t>
      </w:r>
      <w:r w:rsidR="006F72A0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="006F72A0">
        <w:rPr>
          <w:rFonts w:asciiTheme="minorHAnsi" w:hAnsiTheme="minorHAnsi" w:cstheme="minorHAnsi"/>
          <w:sz w:val="20"/>
          <w:szCs w:val="20"/>
        </w:rPr>
        <w:t xml:space="preserve"> </w:t>
      </w:r>
      <w:r w:rsidR="007E59D2">
        <w:rPr>
          <w:rFonts w:asciiTheme="minorHAnsi" w:hAnsiTheme="minorHAnsi" w:cstheme="minorHAnsi"/>
          <w:sz w:val="20"/>
          <w:szCs w:val="20"/>
        </w:rPr>
        <w:t>T</w:t>
      </w:r>
      <w:r w:rsidRPr="00E314E1">
        <w:rPr>
          <w:rFonts w:asciiTheme="minorHAnsi" w:hAnsiTheme="minorHAnsi" w:cstheme="minorHAnsi"/>
          <w:sz w:val="20"/>
          <w:szCs w:val="20"/>
        </w:rPr>
        <w:t>he Odyssey experience is an incredible bargain</w:t>
      </w:r>
      <w:r w:rsidR="007E59D2">
        <w:rPr>
          <w:rFonts w:asciiTheme="minorHAnsi" w:hAnsiTheme="minorHAnsi" w:cstheme="minorHAnsi"/>
          <w:sz w:val="20"/>
          <w:szCs w:val="20"/>
        </w:rPr>
        <w:t xml:space="preserve">! </w:t>
      </w:r>
    </w:p>
    <w:p w14:paraId="65444C96" w14:textId="77777777" w:rsidR="007E59D2" w:rsidRPr="00E314E1" w:rsidRDefault="007E59D2" w:rsidP="004950E3">
      <w:pPr>
        <w:spacing w:line="120" w:lineRule="exact"/>
        <w:rPr>
          <w:rFonts w:asciiTheme="minorHAnsi" w:hAnsiTheme="minorHAnsi" w:cstheme="minorHAnsi"/>
          <w:b/>
          <w:sz w:val="20"/>
          <w:szCs w:val="20"/>
        </w:rPr>
      </w:pPr>
    </w:p>
    <w:p w14:paraId="083B14AD" w14:textId="77777777" w:rsidR="00E314E1" w:rsidRPr="00E314E1" w:rsidRDefault="004757CF" w:rsidP="00E314E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2013-2014</w:t>
      </w:r>
      <w:r w:rsidR="00E314E1" w:rsidRPr="00E314E1">
        <w:rPr>
          <w:rFonts w:asciiTheme="minorHAnsi" w:hAnsiTheme="minorHAnsi" w:cstheme="minorHAnsi"/>
          <w:b/>
          <w:sz w:val="20"/>
          <w:szCs w:val="20"/>
        </w:rPr>
        <w:t xml:space="preserve"> Projected ACTUAL COSTS PER CHILD</w:t>
      </w:r>
      <w:r w:rsidR="001F6130">
        <w:rPr>
          <w:rFonts w:asciiTheme="minorHAnsi" w:hAnsiTheme="minorHAnsi" w:cstheme="minorHAnsi"/>
          <w:b/>
          <w:sz w:val="20"/>
          <w:szCs w:val="20"/>
        </w:rPr>
        <w:t xml:space="preserve"> &amp; Corresponding Giving Request</w:t>
      </w:r>
    </w:p>
    <w:tbl>
      <w:tblPr>
        <w:tblStyle w:val="TableGrid"/>
        <w:tblW w:w="10188" w:type="dxa"/>
        <w:tblLook w:val="00A0" w:firstRow="1" w:lastRow="0" w:firstColumn="1" w:lastColumn="0" w:noHBand="0" w:noVBand="0"/>
      </w:tblPr>
      <w:tblGrid>
        <w:gridCol w:w="1766"/>
        <w:gridCol w:w="1867"/>
        <w:gridCol w:w="1832"/>
        <w:gridCol w:w="1835"/>
        <w:gridCol w:w="2888"/>
      </w:tblGrid>
      <w:tr w:rsidR="00731589" w:rsidRPr="00E314E1" w14:paraId="3322BB16" w14:textId="77777777" w:rsidTr="00731589">
        <w:tc>
          <w:tcPr>
            <w:tcW w:w="1766" w:type="dxa"/>
          </w:tcPr>
          <w:p w14:paraId="5D94DFD4" w14:textId="77777777" w:rsidR="00EB7BE2" w:rsidRPr="009E38A0" w:rsidRDefault="00EB7BE2" w:rsidP="006B46FA">
            <w:pPr>
              <w:spacing w:line="22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8A0">
              <w:rPr>
                <w:rFonts w:asciiTheme="minorHAnsi" w:hAnsiTheme="minorHAnsi" w:cstheme="minorHAnsi"/>
                <w:b/>
                <w:sz w:val="22"/>
                <w:szCs w:val="22"/>
              </w:rPr>
              <w:t>Cluster</w:t>
            </w:r>
          </w:p>
        </w:tc>
        <w:tc>
          <w:tcPr>
            <w:tcW w:w="1867" w:type="dxa"/>
          </w:tcPr>
          <w:p w14:paraId="335B9D96" w14:textId="77777777" w:rsidR="00EB7BE2" w:rsidRPr="009E38A0" w:rsidRDefault="00EB7BE2" w:rsidP="006B46FA">
            <w:pPr>
              <w:spacing w:line="22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8A0">
              <w:rPr>
                <w:rFonts w:asciiTheme="minorHAnsi" w:hAnsiTheme="minorHAnsi" w:cstheme="minorHAnsi"/>
                <w:b/>
                <w:sz w:val="22"/>
                <w:szCs w:val="22"/>
              </w:rPr>
              <w:t>General Classroom &amp; Program Expenses:</w:t>
            </w:r>
          </w:p>
        </w:tc>
        <w:tc>
          <w:tcPr>
            <w:tcW w:w="1832" w:type="dxa"/>
            <w:vAlign w:val="center"/>
          </w:tcPr>
          <w:p w14:paraId="5CB9479A" w14:textId="77777777" w:rsidR="00EB7BE2" w:rsidRDefault="00EB7BE2" w:rsidP="006B46FA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Cluster-Specific Enrichment Expenses</w:t>
            </w:r>
          </w:p>
        </w:tc>
        <w:tc>
          <w:tcPr>
            <w:tcW w:w="1835" w:type="dxa"/>
            <w:tcBorders>
              <w:right w:val="single" w:sz="24" w:space="0" w:color="auto"/>
            </w:tcBorders>
            <w:vAlign w:val="center"/>
          </w:tcPr>
          <w:p w14:paraId="4AFCBD0E" w14:textId="77777777" w:rsidR="00EB7BE2" w:rsidRDefault="00EB7BE2" w:rsidP="006B46FA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COST Per Child </w:t>
            </w:r>
            <w:r w:rsidR="007315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Cluster/ Giving Request</w:t>
            </w:r>
          </w:p>
        </w:tc>
        <w:tc>
          <w:tcPr>
            <w:tcW w:w="28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CEDA151" w14:textId="08A7D298" w:rsidR="00EB7BE2" w:rsidRDefault="00961CC4" w:rsidP="006B46FA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2015-16</w:t>
            </w:r>
            <w:bookmarkStart w:id="0" w:name="_GoBack"/>
            <w:bookmarkEnd w:id="0"/>
            <w:r w:rsidR="009D2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B7B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Direct Giving Request Based on Forecast of Giving Across Community</w:t>
            </w:r>
          </w:p>
          <w:p w14:paraId="23529B76" w14:textId="77777777" w:rsidR="00EB7BE2" w:rsidRDefault="00EB7BE2" w:rsidP="006B46FA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(Need+15% rounded)</w:t>
            </w:r>
          </w:p>
        </w:tc>
      </w:tr>
      <w:tr w:rsidR="00731589" w:rsidRPr="00E314E1" w14:paraId="1D8F6DEC" w14:textId="77777777" w:rsidTr="00731589">
        <w:tc>
          <w:tcPr>
            <w:tcW w:w="1766" w:type="dxa"/>
          </w:tcPr>
          <w:p w14:paraId="566FFDD4" w14:textId="77777777" w:rsidR="00EB7BE2" w:rsidRPr="00E314E1" w:rsidRDefault="00EB7BE2" w:rsidP="006B46FA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314E1">
              <w:rPr>
                <w:rFonts w:asciiTheme="minorHAnsi" w:hAnsiTheme="minorHAnsi" w:cstheme="minorHAnsi"/>
                <w:sz w:val="20"/>
                <w:szCs w:val="20"/>
              </w:rPr>
              <w:t>K12**</w:t>
            </w:r>
          </w:p>
        </w:tc>
        <w:tc>
          <w:tcPr>
            <w:tcW w:w="1867" w:type="dxa"/>
          </w:tcPr>
          <w:p w14:paraId="216988C2" w14:textId="77777777" w:rsidR="00EB7BE2" w:rsidRPr="00E314E1" w:rsidRDefault="00C311DE" w:rsidP="006B46FA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190</w:t>
            </w:r>
          </w:p>
        </w:tc>
        <w:tc>
          <w:tcPr>
            <w:tcW w:w="1832" w:type="dxa"/>
            <w:vAlign w:val="center"/>
          </w:tcPr>
          <w:p w14:paraId="68B02CAD" w14:textId="77777777" w:rsidR="00EB7BE2" w:rsidRDefault="00EB7BE2" w:rsidP="006B46FA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835" w:type="dxa"/>
            <w:tcBorders>
              <w:right w:val="single" w:sz="24" w:space="0" w:color="auto"/>
            </w:tcBorders>
            <w:vAlign w:val="center"/>
          </w:tcPr>
          <w:p w14:paraId="49AEDD83" w14:textId="77777777" w:rsidR="00EB7BE2" w:rsidRDefault="00C311DE" w:rsidP="006B46FA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8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bottom"/>
          </w:tcPr>
          <w:p w14:paraId="5474BD4F" w14:textId="77777777" w:rsidR="00EB7BE2" w:rsidRDefault="00225E81" w:rsidP="006B46FA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</w:t>
            </w:r>
            <w:r w:rsidR="00C311DE"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</w:tr>
      <w:tr w:rsidR="00731589" w:rsidRPr="00E314E1" w14:paraId="4A5110BC" w14:textId="77777777" w:rsidTr="00731589">
        <w:tc>
          <w:tcPr>
            <w:tcW w:w="1766" w:type="dxa"/>
          </w:tcPr>
          <w:p w14:paraId="2278B1A1" w14:textId="77777777" w:rsidR="00EB7BE2" w:rsidRPr="00E314E1" w:rsidRDefault="00EB7BE2" w:rsidP="006B46FA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314E1">
              <w:rPr>
                <w:rFonts w:asciiTheme="minorHAnsi" w:hAnsiTheme="minorHAnsi" w:cstheme="minorHAnsi"/>
                <w:sz w:val="20"/>
                <w:szCs w:val="20"/>
              </w:rPr>
              <w:t>345</w:t>
            </w:r>
          </w:p>
        </w:tc>
        <w:tc>
          <w:tcPr>
            <w:tcW w:w="1867" w:type="dxa"/>
          </w:tcPr>
          <w:p w14:paraId="0B433E7D" w14:textId="77777777" w:rsidR="00EB7BE2" w:rsidRPr="00E314E1" w:rsidRDefault="00C311DE" w:rsidP="006B46FA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190</w:t>
            </w:r>
          </w:p>
        </w:tc>
        <w:tc>
          <w:tcPr>
            <w:tcW w:w="1832" w:type="dxa"/>
            <w:vAlign w:val="center"/>
          </w:tcPr>
          <w:p w14:paraId="2DC10273" w14:textId="77777777" w:rsidR="00EB7BE2" w:rsidRDefault="00EB7BE2" w:rsidP="006B46FA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835" w:type="dxa"/>
            <w:tcBorders>
              <w:right w:val="single" w:sz="24" w:space="0" w:color="auto"/>
            </w:tcBorders>
            <w:vAlign w:val="center"/>
          </w:tcPr>
          <w:p w14:paraId="6087C2BA" w14:textId="77777777" w:rsidR="00EB7BE2" w:rsidRDefault="00C311DE" w:rsidP="006B46FA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8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bottom"/>
          </w:tcPr>
          <w:p w14:paraId="53464850" w14:textId="77777777" w:rsidR="00EB7BE2" w:rsidRDefault="00225E81" w:rsidP="006B46FA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</w:t>
            </w:r>
            <w:r w:rsidR="00C311DE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</w:tr>
      <w:tr w:rsidR="00731589" w:rsidRPr="00E314E1" w14:paraId="2C254191" w14:textId="77777777" w:rsidTr="00731589">
        <w:tc>
          <w:tcPr>
            <w:tcW w:w="1766" w:type="dxa"/>
          </w:tcPr>
          <w:p w14:paraId="22FBD6D0" w14:textId="77777777" w:rsidR="00EB7BE2" w:rsidRPr="00E314E1" w:rsidRDefault="00EB7BE2" w:rsidP="006B46FA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314E1">
              <w:rPr>
                <w:rFonts w:asciiTheme="minorHAnsi" w:hAnsiTheme="minorHAnsi" w:cstheme="minorHAnsi"/>
                <w:sz w:val="20"/>
                <w:szCs w:val="20"/>
              </w:rPr>
              <w:t>678</w:t>
            </w:r>
          </w:p>
        </w:tc>
        <w:tc>
          <w:tcPr>
            <w:tcW w:w="1867" w:type="dxa"/>
          </w:tcPr>
          <w:p w14:paraId="326CAD39" w14:textId="77777777" w:rsidR="00EB7BE2" w:rsidRPr="00E314E1" w:rsidRDefault="00C311DE" w:rsidP="006B46FA">
            <w:pPr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190</w:t>
            </w:r>
          </w:p>
        </w:tc>
        <w:tc>
          <w:tcPr>
            <w:tcW w:w="1832" w:type="dxa"/>
            <w:vAlign w:val="center"/>
          </w:tcPr>
          <w:p w14:paraId="0E3E3E60" w14:textId="77777777" w:rsidR="00EB7BE2" w:rsidRDefault="00EB7BE2" w:rsidP="006B46FA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835" w:type="dxa"/>
            <w:tcBorders>
              <w:right w:val="single" w:sz="24" w:space="0" w:color="auto"/>
            </w:tcBorders>
            <w:vAlign w:val="center"/>
          </w:tcPr>
          <w:p w14:paraId="04EB941D" w14:textId="77777777" w:rsidR="00EB7BE2" w:rsidRDefault="00C311DE" w:rsidP="006B46FA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28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bottom"/>
          </w:tcPr>
          <w:p w14:paraId="5C9DC897" w14:textId="77777777" w:rsidR="00EB7BE2" w:rsidRDefault="00225E81" w:rsidP="006B46FA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</w:t>
            </w:r>
            <w:r w:rsidR="00C311DE">
              <w:rPr>
                <w:rFonts w:ascii="Calibri" w:hAnsi="Calibri" w:cs="Calibri"/>
                <w:color w:val="000000"/>
                <w:sz w:val="22"/>
                <w:szCs w:val="22"/>
              </w:rPr>
              <w:t>820</w:t>
            </w:r>
          </w:p>
        </w:tc>
      </w:tr>
    </w:tbl>
    <w:p w14:paraId="2C51230E" w14:textId="77777777" w:rsidR="00E314E1" w:rsidRPr="004950E3" w:rsidRDefault="00E314E1" w:rsidP="00E314E1">
      <w:pPr>
        <w:jc w:val="both"/>
        <w:rPr>
          <w:rFonts w:asciiTheme="minorHAnsi" w:hAnsiTheme="minorHAnsi" w:cstheme="minorHAnsi"/>
          <w:sz w:val="16"/>
          <w:szCs w:val="16"/>
        </w:rPr>
      </w:pPr>
      <w:r w:rsidRPr="004950E3">
        <w:rPr>
          <w:rFonts w:asciiTheme="minorHAnsi" w:hAnsiTheme="minorHAnsi" w:cstheme="minorHAnsi"/>
          <w:sz w:val="16"/>
          <w:szCs w:val="16"/>
        </w:rPr>
        <w:t xml:space="preserve">**We </w:t>
      </w:r>
      <w:r w:rsidR="007E2B3B" w:rsidRPr="004950E3">
        <w:rPr>
          <w:rFonts w:asciiTheme="minorHAnsi" w:hAnsiTheme="minorHAnsi" w:cstheme="minorHAnsi"/>
          <w:sz w:val="16"/>
          <w:szCs w:val="16"/>
        </w:rPr>
        <w:t xml:space="preserve">are well aware that our Odyssey </w:t>
      </w:r>
      <w:r w:rsidRPr="004950E3">
        <w:rPr>
          <w:rFonts w:asciiTheme="minorHAnsi" w:hAnsiTheme="minorHAnsi" w:cstheme="minorHAnsi"/>
          <w:sz w:val="16"/>
          <w:szCs w:val="16"/>
        </w:rPr>
        <w:t xml:space="preserve">Kindergarten families are already </w:t>
      </w:r>
      <w:r w:rsidR="007E2B3B" w:rsidRPr="004950E3">
        <w:rPr>
          <w:rFonts w:asciiTheme="minorHAnsi" w:hAnsiTheme="minorHAnsi" w:cstheme="minorHAnsi"/>
          <w:sz w:val="16"/>
          <w:szCs w:val="16"/>
        </w:rPr>
        <w:t>paying for full-day Kindergarten and have tried to account for that in our estimation</w:t>
      </w:r>
      <w:r w:rsidRPr="004950E3">
        <w:rPr>
          <w:rFonts w:asciiTheme="minorHAnsi" w:hAnsiTheme="minorHAnsi" w:cstheme="minorHAnsi"/>
          <w:sz w:val="16"/>
          <w:szCs w:val="16"/>
        </w:rPr>
        <w:t>.  Any additional voluntary Direct Giving contributions K families can make help fund enrichment for</w:t>
      </w:r>
      <w:r w:rsidR="004950E3">
        <w:rPr>
          <w:rFonts w:asciiTheme="minorHAnsi" w:hAnsiTheme="minorHAnsi" w:cstheme="minorHAnsi"/>
          <w:sz w:val="16"/>
          <w:szCs w:val="16"/>
        </w:rPr>
        <w:t xml:space="preserve"> the K12</w:t>
      </w:r>
      <w:r w:rsidRPr="004950E3">
        <w:rPr>
          <w:rFonts w:asciiTheme="minorHAnsi" w:hAnsiTheme="minorHAnsi" w:cstheme="minorHAnsi"/>
          <w:sz w:val="16"/>
          <w:szCs w:val="16"/>
        </w:rPr>
        <w:t>.</w:t>
      </w:r>
    </w:p>
    <w:p w14:paraId="3FBA9F96" w14:textId="77777777" w:rsidR="00731589" w:rsidRDefault="00731589" w:rsidP="004950E3">
      <w:pPr>
        <w:spacing w:line="120" w:lineRule="exact"/>
        <w:rPr>
          <w:rFonts w:asciiTheme="minorHAnsi" w:hAnsiTheme="minorHAnsi" w:cstheme="minorHAnsi"/>
          <w:sz w:val="20"/>
          <w:szCs w:val="20"/>
          <w:u w:val="single"/>
        </w:rPr>
      </w:pPr>
    </w:p>
    <w:p w14:paraId="75890C9D" w14:textId="77777777" w:rsidR="00E314E1" w:rsidRPr="00EB7BE2" w:rsidRDefault="00E314E1" w:rsidP="002A5DF8">
      <w:pPr>
        <w:spacing w:line="220" w:lineRule="exact"/>
        <w:rPr>
          <w:rFonts w:asciiTheme="minorHAnsi" w:hAnsiTheme="minorHAnsi" w:cstheme="minorHAnsi"/>
          <w:sz w:val="20"/>
          <w:szCs w:val="20"/>
        </w:rPr>
      </w:pPr>
      <w:r w:rsidRPr="00E314E1">
        <w:rPr>
          <w:rFonts w:asciiTheme="minorHAnsi" w:hAnsiTheme="minorHAnsi" w:cstheme="minorHAnsi"/>
          <w:sz w:val="20"/>
          <w:szCs w:val="20"/>
          <w:u w:val="single"/>
        </w:rPr>
        <w:t>Not all parents can afford to pay the full share of the costs for their child</w:t>
      </w:r>
      <w:r w:rsidR="00E02389">
        <w:rPr>
          <w:rFonts w:asciiTheme="minorHAnsi" w:hAnsiTheme="minorHAnsi" w:cstheme="minorHAnsi"/>
          <w:sz w:val="20"/>
          <w:szCs w:val="20"/>
          <w:u w:val="single"/>
        </w:rPr>
        <w:t xml:space="preserve"> and we assume others will be willing to help fund </w:t>
      </w:r>
      <w:r w:rsidR="001F6130">
        <w:rPr>
          <w:rFonts w:asciiTheme="minorHAnsi" w:hAnsiTheme="minorHAnsi" w:cstheme="minorHAnsi"/>
          <w:sz w:val="20"/>
          <w:szCs w:val="20"/>
          <w:u w:val="single"/>
        </w:rPr>
        <w:t>others in need</w:t>
      </w:r>
      <w:r w:rsidR="00E02389">
        <w:rPr>
          <w:rFonts w:asciiTheme="minorHAnsi" w:hAnsiTheme="minorHAnsi" w:cstheme="minorHAnsi"/>
          <w:sz w:val="20"/>
          <w:szCs w:val="20"/>
          <w:u w:val="single"/>
        </w:rPr>
        <w:t>.</w:t>
      </w:r>
      <w:r w:rsidR="00E02389">
        <w:rPr>
          <w:rFonts w:asciiTheme="minorHAnsi" w:hAnsiTheme="minorHAnsi" w:cstheme="minorHAnsi"/>
          <w:sz w:val="20"/>
          <w:szCs w:val="20"/>
        </w:rPr>
        <w:t xml:space="preserve">  </w:t>
      </w:r>
      <w:r w:rsidR="00EB7BE2">
        <w:rPr>
          <w:rFonts w:asciiTheme="minorHAnsi" w:hAnsiTheme="minorHAnsi" w:cstheme="minorHAnsi"/>
          <w:sz w:val="20"/>
          <w:szCs w:val="20"/>
        </w:rPr>
        <w:t>O</w:t>
      </w:r>
      <w:r w:rsidRPr="00E314E1">
        <w:rPr>
          <w:rFonts w:asciiTheme="minorHAnsi" w:hAnsiTheme="minorHAnsi" w:cstheme="minorHAnsi"/>
          <w:sz w:val="20"/>
          <w:szCs w:val="20"/>
        </w:rPr>
        <w:t xml:space="preserve">ur Direct Giving Request </w:t>
      </w:r>
      <w:r w:rsidR="00EB7BE2">
        <w:rPr>
          <w:rFonts w:asciiTheme="minorHAnsi" w:hAnsiTheme="minorHAnsi" w:cstheme="minorHAnsi"/>
          <w:sz w:val="20"/>
          <w:szCs w:val="20"/>
        </w:rPr>
        <w:t>varies from</w:t>
      </w:r>
      <w:r w:rsidRPr="00E314E1">
        <w:rPr>
          <w:rFonts w:asciiTheme="minorHAnsi" w:hAnsiTheme="minorHAnsi" w:cstheme="minorHAnsi"/>
          <w:sz w:val="20"/>
          <w:szCs w:val="20"/>
        </w:rPr>
        <w:t xml:space="preserve"> actual costs</w:t>
      </w:r>
      <w:r w:rsidR="00EB7BE2">
        <w:rPr>
          <w:rFonts w:asciiTheme="minorHAnsi" w:hAnsiTheme="minorHAnsi" w:cstheme="minorHAnsi"/>
          <w:sz w:val="20"/>
          <w:szCs w:val="20"/>
        </w:rPr>
        <w:t xml:space="preserve"> per student</w:t>
      </w:r>
      <w:r w:rsidRPr="00E314E1">
        <w:rPr>
          <w:rFonts w:asciiTheme="minorHAnsi" w:hAnsiTheme="minorHAnsi" w:cstheme="minorHAnsi"/>
          <w:sz w:val="20"/>
          <w:szCs w:val="20"/>
        </w:rPr>
        <w:t xml:space="preserve"> because we know </w:t>
      </w:r>
      <w:r w:rsidR="00EB7BE2">
        <w:rPr>
          <w:rFonts w:asciiTheme="minorHAnsi" w:hAnsiTheme="minorHAnsi" w:cstheme="minorHAnsi"/>
          <w:sz w:val="20"/>
          <w:szCs w:val="20"/>
        </w:rPr>
        <w:t>not all parents can give at the same levels</w:t>
      </w:r>
      <w:r w:rsidR="00E02389">
        <w:rPr>
          <w:rFonts w:asciiTheme="minorHAnsi" w:hAnsiTheme="minorHAnsi" w:cstheme="minorHAnsi"/>
          <w:sz w:val="20"/>
          <w:szCs w:val="20"/>
        </w:rPr>
        <w:t xml:space="preserve"> – and we have made best guess projections about how some will give more and others less</w:t>
      </w:r>
      <w:r w:rsidR="00EB7BE2">
        <w:rPr>
          <w:rFonts w:asciiTheme="minorHAnsi" w:hAnsiTheme="minorHAnsi" w:cstheme="minorHAnsi"/>
          <w:sz w:val="20"/>
          <w:szCs w:val="20"/>
        </w:rPr>
        <w:t xml:space="preserve">.  </w:t>
      </w:r>
      <w:r w:rsidR="007E2B3B">
        <w:rPr>
          <w:rFonts w:asciiTheme="minorHAnsi" w:hAnsiTheme="minorHAnsi" w:cstheme="minorHAnsi"/>
          <w:sz w:val="20"/>
          <w:szCs w:val="20"/>
        </w:rPr>
        <w:t xml:space="preserve">But, every Odyssey student has a unique education because of parent giving.  </w:t>
      </w:r>
      <w:r w:rsidR="007E2B3B" w:rsidRPr="007E2B3B">
        <w:rPr>
          <w:rFonts w:asciiTheme="minorHAnsi" w:hAnsiTheme="minorHAnsi" w:cstheme="minorHAnsi"/>
          <w:b/>
          <w:sz w:val="20"/>
          <w:szCs w:val="20"/>
        </w:rPr>
        <w:t>Our overall goal is that</w:t>
      </w:r>
      <w:r w:rsidR="00EB7BE2" w:rsidRPr="007E2B3B">
        <w:rPr>
          <w:rFonts w:asciiTheme="minorHAnsi" w:hAnsiTheme="minorHAnsi" w:cstheme="minorHAnsi"/>
          <w:b/>
          <w:sz w:val="20"/>
          <w:szCs w:val="20"/>
        </w:rPr>
        <w:t xml:space="preserve"> 90% of our parents give</w:t>
      </w:r>
      <w:r w:rsidR="007E2B3B">
        <w:rPr>
          <w:rFonts w:asciiTheme="minorHAnsi" w:hAnsiTheme="minorHAnsi" w:cstheme="minorHAnsi"/>
          <w:b/>
          <w:sz w:val="20"/>
          <w:szCs w:val="20"/>
        </w:rPr>
        <w:t xml:space="preserve"> some donation.</w:t>
      </w:r>
      <w:r w:rsidR="001F6130">
        <w:rPr>
          <w:rFonts w:asciiTheme="minorHAnsi" w:hAnsiTheme="minorHAnsi" w:cstheme="minorHAnsi"/>
          <w:sz w:val="20"/>
          <w:szCs w:val="20"/>
        </w:rPr>
        <w:t xml:space="preserve">  A second goal is to engage </w:t>
      </w:r>
      <w:r w:rsidR="00731589">
        <w:rPr>
          <w:rFonts w:asciiTheme="minorHAnsi" w:hAnsiTheme="minorHAnsi" w:cstheme="minorHAnsi"/>
          <w:sz w:val="20"/>
          <w:szCs w:val="20"/>
        </w:rPr>
        <w:t xml:space="preserve">a majority of </w:t>
      </w:r>
      <w:r w:rsidR="00EB7BE2">
        <w:rPr>
          <w:rFonts w:asciiTheme="minorHAnsi" w:hAnsiTheme="minorHAnsi" w:cstheme="minorHAnsi"/>
          <w:sz w:val="20"/>
          <w:szCs w:val="20"/>
        </w:rPr>
        <w:t xml:space="preserve">parents </w:t>
      </w:r>
      <w:r w:rsidR="001F6130">
        <w:rPr>
          <w:rFonts w:asciiTheme="minorHAnsi" w:hAnsiTheme="minorHAnsi" w:cstheme="minorHAnsi"/>
          <w:sz w:val="20"/>
          <w:szCs w:val="20"/>
        </w:rPr>
        <w:t xml:space="preserve">to </w:t>
      </w:r>
      <w:r w:rsidR="00EB7BE2">
        <w:rPr>
          <w:rFonts w:asciiTheme="minorHAnsi" w:hAnsiTheme="minorHAnsi" w:cstheme="minorHAnsi"/>
          <w:sz w:val="20"/>
          <w:szCs w:val="20"/>
        </w:rPr>
        <w:t xml:space="preserve">find a way to </w:t>
      </w:r>
      <w:r w:rsidR="001F6130">
        <w:rPr>
          <w:rFonts w:asciiTheme="minorHAnsi" w:hAnsiTheme="minorHAnsi" w:cstheme="minorHAnsi"/>
          <w:sz w:val="20"/>
          <w:szCs w:val="20"/>
        </w:rPr>
        <w:t xml:space="preserve">fund the costs for their child </w:t>
      </w:r>
      <w:r w:rsidR="007E2B3B">
        <w:rPr>
          <w:rFonts w:asciiTheme="minorHAnsi" w:hAnsiTheme="minorHAnsi" w:cstheme="minorHAnsi"/>
          <w:sz w:val="20"/>
          <w:szCs w:val="20"/>
        </w:rPr>
        <w:t>over the course of the year</w:t>
      </w:r>
      <w:r w:rsidRPr="00E314E1">
        <w:rPr>
          <w:rFonts w:asciiTheme="minorHAnsi" w:hAnsiTheme="minorHAnsi" w:cstheme="minorHAnsi"/>
          <w:sz w:val="20"/>
          <w:szCs w:val="20"/>
        </w:rPr>
        <w:t xml:space="preserve">.  </w:t>
      </w:r>
      <w:r w:rsidRPr="00E314E1">
        <w:rPr>
          <w:rFonts w:asciiTheme="minorHAnsi" w:hAnsiTheme="minorHAnsi" w:cstheme="minorHAnsi"/>
          <w:sz w:val="20"/>
          <w:szCs w:val="20"/>
          <w:u w:val="single"/>
        </w:rPr>
        <w:t xml:space="preserve">There are many options for </w:t>
      </w:r>
      <w:r w:rsidR="00731589">
        <w:rPr>
          <w:rFonts w:asciiTheme="minorHAnsi" w:hAnsiTheme="minorHAnsi" w:cstheme="minorHAnsi"/>
          <w:sz w:val="20"/>
          <w:szCs w:val="20"/>
          <w:u w:val="single"/>
        </w:rPr>
        <w:t>how to structure giving to work for you whatever your circumstances!</w:t>
      </w:r>
      <w:r w:rsidRPr="00E314E1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</w:p>
    <w:p w14:paraId="25B5DC0C" w14:textId="77777777" w:rsidR="00E314E1" w:rsidRPr="00590EDF" w:rsidRDefault="00E314E1" w:rsidP="007C3084">
      <w:pPr>
        <w:spacing w:line="120" w:lineRule="exact"/>
        <w:rPr>
          <w:rFonts w:ascii="Calibri" w:hAnsi="Calibri" w:cs="Calibri"/>
          <w:sz w:val="22"/>
        </w:rPr>
      </w:pPr>
    </w:p>
    <w:p w14:paraId="4CC77952" w14:textId="77777777" w:rsidR="00675E6B" w:rsidRPr="00675E6B" w:rsidRDefault="00A90714" w:rsidP="00E314E1">
      <w:pPr>
        <w:rPr>
          <w:rFonts w:asciiTheme="minorHAnsi" w:hAnsiTheme="minorHAnsi" w:cstheme="minorHAnsi"/>
          <w:b/>
        </w:rPr>
      </w:pPr>
      <w:r w:rsidRPr="00A90714">
        <w:rPr>
          <w:rFonts w:asciiTheme="minorHAnsi" w:hAnsiTheme="minorHAnsi" w:cstheme="minorHAnsi"/>
          <w:b/>
        </w:rPr>
        <w:t>Corporate Match Matters</w:t>
      </w:r>
      <w:r w:rsidR="00675E6B">
        <w:rPr>
          <w:rFonts w:asciiTheme="minorHAnsi" w:hAnsiTheme="minorHAnsi" w:cstheme="minorHAnsi"/>
          <w:b/>
        </w:rPr>
        <w:t xml:space="preserve">!  Tell Kathy </w:t>
      </w:r>
      <w:r w:rsidR="00A51838">
        <w:rPr>
          <w:rFonts w:asciiTheme="minorHAnsi" w:hAnsiTheme="minorHAnsi" w:cstheme="minorHAnsi"/>
          <w:b/>
        </w:rPr>
        <w:t xml:space="preserve">Lee </w:t>
      </w:r>
      <w:r w:rsidR="00675E6B">
        <w:rPr>
          <w:rFonts w:asciiTheme="minorHAnsi" w:hAnsiTheme="minorHAnsi" w:cstheme="minorHAnsi"/>
          <w:b/>
        </w:rPr>
        <w:t>in the Office if You Expect Match Funds!</w:t>
      </w:r>
    </w:p>
    <w:p w14:paraId="1B862B23" w14:textId="77777777" w:rsidR="0032165F" w:rsidRDefault="00731589" w:rsidP="002A5DF8">
      <w:pPr>
        <w:spacing w:line="22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Corporate Match is a critical income stream for Odyssey!!  </w:t>
      </w:r>
      <w:r w:rsidR="00E314E1" w:rsidRPr="00731589">
        <w:rPr>
          <w:rFonts w:ascii="Calibri" w:hAnsi="Calibri" w:cs="Calibri"/>
          <w:sz w:val="20"/>
          <w:szCs w:val="20"/>
        </w:rPr>
        <w:t xml:space="preserve">Your company may match </w:t>
      </w:r>
      <w:r>
        <w:rPr>
          <w:rFonts w:ascii="Calibri" w:hAnsi="Calibri" w:cs="Calibri"/>
          <w:sz w:val="20"/>
          <w:szCs w:val="20"/>
        </w:rPr>
        <w:t xml:space="preserve">your donations.  </w:t>
      </w:r>
      <w:r w:rsidR="00675E6B">
        <w:rPr>
          <w:rFonts w:ascii="Calibri" w:hAnsi="Calibri" w:cs="Calibri"/>
          <w:sz w:val="20"/>
          <w:szCs w:val="20"/>
        </w:rPr>
        <w:t>If you know you are expecting a corporate match, you MUST LET KATHY know in the office.  P</w:t>
      </w:r>
      <w:r w:rsidR="00A3238B">
        <w:rPr>
          <w:rFonts w:ascii="Calibri" w:hAnsi="Calibri" w:cs="Calibri"/>
          <w:sz w:val="20"/>
          <w:szCs w:val="20"/>
        </w:rPr>
        <w:t>l</w:t>
      </w:r>
      <w:r w:rsidR="00675E6B">
        <w:rPr>
          <w:rFonts w:ascii="Calibri" w:hAnsi="Calibri" w:cs="Calibri"/>
          <w:sz w:val="20"/>
          <w:szCs w:val="20"/>
        </w:rPr>
        <w:t>ease c</w:t>
      </w:r>
      <w:r>
        <w:rPr>
          <w:rFonts w:ascii="Calibri" w:hAnsi="Calibri" w:cs="Calibri"/>
          <w:sz w:val="20"/>
          <w:szCs w:val="20"/>
        </w:rPr>
        <w:t xml:space="preserve">heck out your company benefits website or </w:t>
      </w:r>
      <w:r w:rsidR="00675E6B">
        <w:rPr>
          <w:rFonts w:ascii="Calibri" w:hAnsi="Calibri" w:cs="Calibri"/>
          <w:sz w:val="20"/>
          <w:szCs w:val="20"/>
        </w:rPr>
        <w:t>talk to your corporate philanthropy people</w:t>
      </w:r>
      <w:r>
        <w:rPr>
          <w:rFonts w:ascii="Calibri" w:hAnsi="Calibri" w:cs="Calibri"/>
          <w:sz w:val="20"/>
          <w:szCs w:val="20"/>
        </w:rPr>
        <w:t xml:space="preserve"> to find out if your company matches and how.  </w:t>
      </w:r>
      <w:r w:rsidR="007E2B3B">
        <w:rPr>
          <w:rFonts w:ascii="Calibri" w:hAnsi="Calibri" w:cs="Calibri"/>
          <w:sz w:val="20"/>
          <w:szCs w:val="20"/>
        </w:rPr>
        <w:t xml:space="preserve">In our budget, all Corporate Match </w:t>
      </w:r>
      <w:r w:rsidR="00675E6B">
        <w:rPr>
          <w:rFonts w:ascii="Calibri" w:hAnsi="Calibri" w:cs="Calibri"/>
          <w:sz w:val="20"/>
          <w:szCs w:val="20"/>
        </w:rPr>
        <w:t xml:space="preserve">funds are </w:t>
      </w:r>
      <w:r w:rsidR="007E2B3B">
        <w:rPr>
          <w:rFonts w:ascii="Calibri" w:hAnsi="Calibri" w:cs="Calibri"/>
          <w:sz w:val="20"/>
          <w:szCs w:val="20"/>
        </w:rPr>
        <w:t xml:space="preserve">counted as its own income stream and NOT as a piece of your family giving contribution. </w:t>
      </w:r>
      <w:r w:rsidR="0032165F">
        <w:rPr>
          <w:rFonts w:ascii="Calibri" w:hAnsi="Calibri" w:cs="Calibri"/>
          <w:sz w:val="20"/>
          <w:szCs w:val="20"/>
        </w:rPr>
        <w:t xml:space="preserve">Based on the way we are able to receive and track Corporate Match, these funds are </w:t>
      </w:r>
      <w:r>
        <w:rPr>
          <w:rFonts w:ascii="Calibri" w:hAnsi="Calibri" w:cs="Calibri"/>
          <w:sz w:val="20"/>
          <w:szCs w:val="20"/>
        </w:rPr>
        <w:t>allocated to general (not cluster-specific) needs</w:t>
      </w:r>
      <w:r w:rsidR="0032165F">
        <w:rPr>
          <w:rFonts w:ascii="Calibri" w:hAnsi="Calibri" w:cs="Calibri"/>
          <w:sz w:val="20"/>
          <w:szCs w:val="20"/>
        </w:rPr>
        <w:t xml:space="preserve">.  </w:t>
      </w:r>
      <w:r>
        <w:rPr>
          <w:rFonts w:ascii="Calibri" w:hAnsi="Calibri" w:cs="Calibri"/>
          <w:sz w:val="20"/>
          <w:szCs w:val="20"/>
        </w:rPr>
        <w:t>Cor</w:t>
      </w:r>
      <w:r w:rsidR="00E314E1" w:rsidRPr="00731589">
        <w:rPr>
          <w:rFonts w:ascii="Calibri" w:hAnsi="Calibri" w:cs="Calibri"/>
          <w:sz w:val="20"/>
          <w:szCs w:val="20"/>
        </w:rPr>
        <w:t>porate Match funds</w:t>
      </w:r>
      <w:r>
        <w:rPr>
          <w:rFonts w:ascii="Calibri" w:hAnsi="Calibri" w:cs="Calibri"/>
          <w:sz w:val="20"/>
          <w:szCs w:val="20"/>
        </w:rPr>
        <w:t xml:space="preserve"> will </w:t>
      </w:r>
      <w:r w:rsidR="0032165F">
        <w:rPr>
          <w:rFonts w:ascii="Calibri" w:hAnsi="Calibri" w:cs="Calibri"/>
          <w:sz w:val="20"/>
          <w:szCs w:val="20"/>
        </w:rPr>
        <w:t xml:space="preserve">specifically go to: </w:t>
      </w:r>
    </w:p>
    <w:p w14:paraId="0531AA38" w14:textId="77777777" w:rsidR="0032165F" w:rsidRPr="002B2691" w:rsidRDefault="0032165F" w:rsidP="002A5DF8">
      <w:pPr>
        <w:pStyle w:val="ListParagraph"/>
        <w:numPr>
          <w:ilvl w:val="0"/>
          <w:numId w:val="6"/>
        </w:numPr>
        <w:spacing w:line="220" w:lineRule="exact"/>
        <w:rPr>
          <w:rFonts w:ascii="Calibri" w:hAnsi="Calibri" w:cs="Calibri"/>
          <w:sz w:val="20"/>
          <w:szCs w:val="20"/>
        </w:rPr>
      </w:pPr>
      <w:r w:rsidRPr="002B2691">
        <w:rPr>
          <w:rFonts w:ascii="Calibri" w:hAnsi="Calibri" w:cs="Calibri"/>
          <w:sz w:val="20"/>
          <w:szCs w:val="20"/>
        </w:rPr>
        <w:t xml:space="preserve">fill </w:t>
      </w:r>
      <w:r w:rsidR="00E314E1" w:rsidRPr="002B2691">
        <w:rPr>
          <w:rFonts w:ascii="Calibri" w:hAnsi="Calibri" w:cs="Calibri"/>
          <w:sz w:val="20"/>
          <w:szCs w:val="20"/>
        </w:rPr>
        <w:t>general program expense gaps</w:t>
      </w:r>
      <w:r w:rsidR="00731589" w:rsidRPr="002B2691">
        <w:rPr>
          <w:rFonts w:ascii="Calibri" w:hAnsi="Calibri" w:cs="Calibri"/>
          <w:sz w:val="20"/>
          <w:szCs w:val="20"/>
        </w:rPr>
        <w:t xml:space="preserve"> if there are any </w:t>
      </w:r>
      <w:r w:rsidR="001F6130">
        <w:rPr>
          <w:rFonts w:ascii="Calibri" w:hAnsi="Calibri" w:cs="Calibri"/>
          <w:sz w:val="20"/>
          <w:szCs w:val="20"/>
        </w:rPr>
        <w:t>based on Giving</w:t>
      </w:r>
      <w:r w:rsidR="00E314E1" w:rsidRPr="002B2691">
        <w:rPr>
          <w:rFonts w:ascii="Calibri" w:hAnsi="Calibri" w:cs="Calibri"/>
          <w:sz w:val="20"/>
          <w:szCs w:val="20"/>
        </w:rPr>
        <w:t xml:space="preserve">, </w:t>
      </w:r>
    </w:p>
    <w:p w14:paraId="5D5BEB47" w14:textId="77777777" w:rsidR="0032165F" w:rsidRPr="002B2691" w:rsidRDefault="0032165F" w:rsidP="002A5DF8">
      <w:pPr>
        <w:pStyle w:val="ListParagraph"/>
        <w:numPr>
          <w:ilvl w:val="0"/>
          <w:numId w:val="6"/>
        </w:numPr>
        <w:spacing w:line="220" w:lineRule="exact"/>
        <w:rPr>
          <w:rFonts w:ascii="Calibri" w:hAnsi="Calibri" w:cs="Calibri"/>
          <w:sz w:val="20"/>
          <w:szCs w:val="20"/>
        </w:rPr>
      </w:pPr>
      <w:r w:rsidRPr="002B2691">
        <w:rPr>
          <w:rFonts w:ascii="Calibri" w:hAnsi="Calibri" w:cs="Calibri"/>
          <w:sz w:val="20"/>
          <w:szCs w:val="20"/>
        </w:rPr>
        <w:t xml:space="preserve">provide </w:t>
      </w:r>
      <w:r w:rsidR="00E314E1" w:rsidRPr="002B2691">
        <w:rPr>
          <w:rFonts w:ascii="Calibri" w:hAnsi="Calibri" w:cs="Calibri"/>
          <w:sz w:val="20"/>
          <w:szCs w:val="20"/>
        </w:rPr>
        <w:t xml:space="preserve">‘scholarship’ support for those that </w:t>
      </w:r>
      <w:r w:rsidR="00731589" w:rsidRPr="002B2691">
        <w:rPr>
          <w:rFonts w:ascii="Calibri" w:hAnsi="Calibri" w:cs="Calibri"/>
          <w:sz w:val="20"/>
          <w:szCs w:val="20"/>
        </w:rPr>
        <w:t>have</w:t>
      </w:r>
      <w:r w:rsidRPr="002B2691">
        <w:rPr>
          <w:rFonts w:ascii="Calibri" w:hAnsi="Calibri" w:cs="Calibri"/>
          <w:sz w:val="20"/>
          <w:szCs w:val="20"/>
        </w:rPr>
        <w:t xml:space="preserve"> financial </w:t>
      </w:r>
      <w:r w:rsidR="00731589" w:rsidRPr="002B2691">
        <w:rPr>
          <w:rFonts w:ascii="Calibri" w:hAnsi="Calibri" w:cs="Calibri"/>
          <w:sz w:val="20"/>
          <w:szCs w:val="20"/>
        </w:rPr>
        <w:t xml:space="preserve">need related to specific events (e.g. need </w:t>
      </w:r>
      <w:r w:rsidRPr="002B2691">
        <w:rPr>
          <w:rFonts w:ascii="Calibri" w:hAnsi="Calibri" w:cs="Calibri"/>
          <w:sz w:val="20"/>
          <w:szCs w:val="20"/>
        </w:rPr>
        <w:t xml:space="preserve">financial </w:t>
      </w:r>
      <w:r w:rsidR="00731589" w:rsidRPr="002B2691">
        <w:rPr>
          <w:rFonts w:ascii="Calibri" w:hAnsi="Calibri" w:cs="Calibri"/>
          <w:sz w:val="20"/>
          <w:szCs w:val="20"/>
        </w:rPr>
        <w:t>help to purchase moccasins for a performance), and</w:t>
      </w:r>
    </w:p>
    <w:p w14:paraId="2A5DE0D4" w14:textId="77777777" w:rsidR="00E314E1" w:rsidRPr="002B2691" w:rsidRDefault="0032165F" w:rsidP="002A5DF8">
      <w:pPr>
        <w:pStyle w:val="ListParagraph"/>
        <w:numPr>
          <w:ilvl w:val="0"/>
          <w:numId w:val="6"/>
        </w:numPr>
        <w:spacing w:line="220" w:lineRule="exact"/>
        <w:rPr>
          <w:rFonts w:ascii="Calibri" w:hAnsi="Calibri" w:cs="Calibri"/>
          <w:sz w:val="20"/>
          <w:szCs w:val="20"/>
        </w:rPr>
      </w:pPr>
      <w:r w:rsidRPr="002B2691">
        <w:rPr>
          <w:rFonts w:ascii="Calibri" w:hAnsi="Calibri" w:cs="Calibri"/>
          <w:sz w:val="20"/>
          <w:szCs w:val="20"/>
        </w:rPr>
        <w:lastRenderedPageBreak/>
        <w:t xml:space="preserve">build </w:t>
      </w:r>
      <w:r w:rsidR="001F6130">
        <w:rPr>
          <w:rFonts w:ascii="Calibri" w:hAnsi="Calibri" w:cs="Calibri"/>
          <w:sz w:val="20"/>
          <w:szCs w:val="20"/>
        </w:rPr>
        <w:t xml:space="preserve">a fund for </w:t>
      </w:r>
      <w:r w:rsidR="00731589" w:rsidRPr="002B2691">
        <w:rPr>
          <w:rFonts w:ascii="Calibri" w:hAnsi="Calibri" w:cs="Calibri"/>
          <w:sz w:val="20"/>
          <w:szCs w:val="20"/>
        </w:rPr>
        <w:t xml:space="preserve">Odyssey </w:t>
      </w:r>
      <w:r w:rsidRPr="002B2691">
        <w:rPr>
          <w:rFonts w:ascii="Calibri" w:hAnsi="Calibri" w:cs="Calibri"/>
          <w:sz w:val="20"/>
          <w:szCs w:val="20"/>
        </w:rPr>
        <w:t>G</w:t>
      </w:r>
      <w:r w:rsidR="00E314E1" w:rsidRPr="002B2691">
        <w:rPr>
          <w:rFonts w:ascii="Calibri" w:hAnsi="Calibri" w:cs="Calibri"/>
          <w:sz w:val="20"/>
          <w:szCs w:val="20"/>
        </w:rPr>
        <w:t>rowth</w:t>
      </w:r>
      <w:r w:rsidR="00731589" w:rsidRPr="002B2691">
        <w:rPr>
          <w:rFonts w:ascii="Calibri" w:hAnsi="Calibri" w:cs="Calibri"/>
          <w:sz w:val="20"/>
          <w:szCs w:val="20"/>
        </w:rPr>
        <w:t xml:space="preserve"> and </w:t>
      </w:r>
      <w:r w:rsidRPr="002B2691">
        <w:rPr>
          <w:rFonts w:ascii="Calibri" w:hAnsi="Calibri" w:cs="Calibri"/>
          <w:sz w:val="20"/>
          <w:szCs w:val="20"/>
        </w:rPr>
        <w:t>D</w:t>
      </w:r>
      <w:r w:rsidR="00731589" w:rsidRPr="002B2691">
        <w:rPr>
          <w:rFonts w:ascii="Calibri" w:hAnsi="Calibri" w:cs="Calibri"/>
          <w:sz w:val="20"/>
          <w:szCs w:val="20"/>
        </w:rPr>
        <w:t>evelopment (tied specifically t</w:t>
      </w:r>
      <w:r w:rsidRPr="002B2691">
        <w:rPr>
          <w:rFonts w:ascii="Calibri" w:hAnsi="Calibri" w:cs="Calibri"/>
          <w:sz w:val="20"/>
          <w:szCs w:val="20"/>
        </w:rPr>
        <w:t>o our</w:t>
      </w:r>
      <w:r w:rsidR="00731589" w:rsidRPr="002B2691">
        <w:rPr>
          <w:rFonts w:ascii="Calibri" w:hAnsi="Calibri" w:cs="Calibri"/>
          <w:sz w:val="20"/>
          <w:szCs w:val="20"/>
        </w:rPr>
        <w:t xml:space="preserve"> </w:t>
      </w:r>
      <w:r w:rsidRPr="002B2691">
        <w:rPr>
          <w:rFonts w:ascii="Calibri" w:hAnsi="Calibri" w:cs="Calibri"/>
          <w:sz w:val="20"/>
          <w:szCs w:val="20"/>
        </w:rPr>
        <w:t xml:space="preserve">established strategy to </w:t>
      </w:r>
      <w:r w:rsidR="00E314E1" w:rsidRPr="002B2691">
        <w:rPr>
          <w:rFonts w:ascii="Calibri" w:hAnsi="Calibri" w:cs="Calibri"/>
          <w:sz w:val="20"/>
          <w:szCs w:val="20"/>
        </w:rPr>
        <w:t>move to an ‘operate 50</w:t>
      </w:r>
      <w:r w:rsidR="00731589" w:rsidRPr="002B2691">
        <w:rPr>
          <w:rFonts w:ascii="Calibri" w:hAnsi="Calibri" w:cs="Calibri"/>
          <w:sz w:val="20"/>
          <w:szCs w:val="20"/>
        </w:rPr>
        <w:t>% ahead’ budget within 3 years</w:t>
      </w:r>
      <w:r w:rsidRPr="002B2691">
        <w:rPr>
          <w:rFonts w:ascii="Calibri" w:hAnsi="Calibri" w:cs="Calibri"/>
          <w:sz w:val="20"/>
          <w:szCs w:val="20"/>
        </w:rPr>
        <w:t xml:space="preserve"> and a range of other strategic initiatives </w:t>
      </w:r>
      <w:r w:rsidR="00927962">
        <w:rPr>
          <w:rFonts w:ascii="Calibri" w:hAnsi="Calibri" w:cs="Calibri"/>
          <w:sz w:val="20"/>
          <w:szCs w:val="20"/>
        </w:rPr>
        <w:t>that need added</w:t>
      </w:r>
      <w:r w:rsidRPr="002B2691">
        <w:rPr>
          <w:rFonts w:ascii="Calibri" w:hAnsi="Calibri" w:cs="Calibri"/>
          <w:sz w:val="20"/>
          <w:szCs w:val="20"/>
        </w:rPr>
        <w:t xml:space="preserve"> funding)</w:t>
      </w:r>
    </w:p>
    <w:p w14:paraId="6E86FD47" w14:textId="77777777" w:rsidR="007F4B8D" w:rsidRPr="006E6C20" w:rsidRDefault="007F4B8D" w:rsidP="002A5DF8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BAF8BF2" w14:textId="77777777" w:rsidR="002B2691" w:rsidRPr="00A90714" w:rsidRDefault="00A90714" w:rsidP="00E0275F">
      <w:pPr>
        <w:jc w:val="both"/>
        <w:rPr>
          <w:rFonts w:asciiTheme="minorHAnsi" w:hAnsiTheme="minorHAnsi" w:cstheme="minorHAnsi"/>
          <w:b/>
        </w:rPr>
      </w:pPr>
      <w:r w:rsidRPr="00A90714">
        <w:rPr>
          <w:rFonts w:asciiTheme="minorHAnsi" w:hAnsiTheme="minorHAnsi" w:cstheme="minorHAnsi"/>
          <w:b/>
        </w:rPr>
        <w:t>Timing Matters</w:t>
      </w:r>
    </w:p>
    <w:p w14:paraId="2898A632" w14:textId="77777777" w:rsidR="002B2691" w:rsidRDefault="0068131B" w:rsidP="002A5DF8">
      <w:pPr>
        <w:spacing w:line="2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6E6C20">
        <w:rPr>
          <w:rFonts w:asciiTheme="minorHAnsi" w:hAnsiTheme="minorHAnsi" w:cstheme="minorHAnsi"/>
          <w:b/>
          <w:sz w:val="20"/>
          <w:szCs w:val="20"/>
        </w:rPr>
        <w:t xml:space="preserve">To ensure </w:t>
      </w:r>
      <w:r w:rsidR="00AD2615" w:rsidRPr="006E6C20">
        <w:rPr>
          <w:rFonts w:asciiTheme="minorHAnsi" w:hAnsiTheme="minorHAnsi" w:cstheme="minorHAnsi"/>
          <w:b/>
          <w:sz w:val="20"/>
          <w:szCs w:val="20"/>
        </w:rPr>
        <w:t xml:space="preserve">we have </w:t>
      </w:r>
      <w:r w:rsidRPr="006E6C20">
        <w:rPr>
          <w:rFonts w:asciiTheme="minorHAnsi" w:hAnsiTheme="minorHAnsi" w:cstheme="minorHAnsi"/>
          <w:b/>
          <w:sz w:val="20"/>
          <w:szCs w:val="20"/>
        </w:rPr>
        <w:t xml:space="preserve">sufficient funds to </w:t>
      </w:r>
      <w:r w:rsidR="002B2691">
        <w:rPr>
          <w:rFonts w:asciiTheme="minorHAnsi" w:hAnsiTheme="minorHAnsi" w:cstheme="minorHAnsi"/>
          <w:b/>
          <w:sz w:val="20"/>
          <w:szCs w:val="20"/>
        </w:rPr>
        <w:t xml:space="preserve">execute </w:t>
      </w:r>
      <w:r w:rsidRPr="006E6C20">
        <w:rPr>
          <w:rFonts w:asciiTheme="minorHAnsi" w:hAnsiTheme="minorHAnsi" w:cstheme="minorHAnsi"/>
          <w:b/>
          <w:sz w:val="20"/>
          <w:szCs w:val="20"/>
        </w:rPr>
        <w:t>plann</w:t>
      </w:r>
      <w:r w:rsidR="002B2691">
        <w:rPr>
          <w:rFonts w:asciiTheme="minorHAnsi" w:hAnsiTheme="minorHAnsi" w:cstheme="minorHAnsi"/>
          <w:b/>
          <w:sz w:val="20"/>
          <w:szCs w:val="20"/>
        </w:rPr>
        <w:t>ed</w:t>
      </w:r>
      <w:r w:rsidRPr="006E6C20">
        <w:rPr>
          <w:rFonts w:asciiTheme="minorHAnsi" w:hAnsiTheme="minorHAnsi" w:cstheme="minorHAnsi"/>
          <w:b/>
          <w:sz w:val="20"/>
          <w:szCs w:val="20"/>
        </w:rPr>
        <w:t xml:space="preserve"> performances and field studies, your payment by </w:t>
      </w:r>
      <w:r w:rsidR="009E38A0">
        <w:rPr>
          <w:rFonts w:asciiTheme="minorHAnsi" w:hAnsiTheme="minorHAnsi" w:cstheme="minorHAnsi"/>
          <w:b/>
          <w:sz w:val="20"/>
          <w:szCs w:val="20"/>
        </w:rPr>
        <w:t>December 31st</w:t>
      </w:r>
      <w:r w:rsidRPr="006E6C20">
        <w:rPr>
          <w:rFonts w:asciiTheme="minorHAnsi" w:hAnsiTheme="minorHAnsi" w:cstheme="minorHAnsi"/>
          <w:b/>
          <w:sz w:val="20"/>
          <w:szCs w:val="20"/>
        </w:rPr>
        <w:t xml:space="preserve"> is especially appreciated.</w:t>
      </w:r>
      <w:r w:rsidR="00E048FB" w:rsidRPr="006E6C2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2B2691" w:rsidRPr="002B2691">
        <w:rPr>
          <w:rFonts w:asciiTheme="minorHAnsi" w:hAnsiTheme="minorHAnsi" w:cstheme="minorHAnsi"/>
          <w:sz w:val="20"/>
          <w:szCs w:val="20"/>
        </w:rPr>
        <w:t xml:space="preserve">The OSPC </w:t>
      </w:r>
      <w:r w:rsidR="001F6130">
        <w:rPr>
          <w:rFonts w:asciiTheme="minorHAnsi" w:hAnsiTheme="minorHAnsi" w:cstheme="minorHAnsi"/>
          <w:sz w:val="20"/>
          <w:szCs w:val="20"/>
        </w:rPr>
        <w:t>will</w:t>
      </w:r>
      <w:r w:rsidR="002B2691" w:rsidRPr="002B2691">
        <w:rPr>
          <w:rFonts w:asciiTheme="minorHAnsi" w:hAnsiTheme="minorHAnsi" w:cstheme="minorHAnsi"/>
          <w:sz w:val="20"/>
          <w:szCs w:val="20"/>
        </w:rPr>
        <w:t xml:space="preserve"> </w:t>
      </w:r>
      <w:r w:rsidR="00675E6B">
        <w:rPr>
          <w:rFonts w:asciiTheme="minorHAnsi" w:hAnsiTheme="minorHAnsi" w:cstheme="minorHAnsi"/>
          <w:sz w:val="20"/>
          <w:szCs w:val="20"/>
        </w:rPr>
        <w:t>evaluate the health of our income against the planned expenses for field studies mid-year and make adjustments if needed if we are unable to raise sufficient funds.</w:t>
      </w:r>
    </w:p>
    <w:p w14:paraId="032C997E" w14:textId="77777777" w:rsidR="00675E6B" w:rsidRDefault="00675E6B" w:rsidP="007C3084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61093BA1" w14:textId="77777777" w:rsidR="002B2691" w:rsidRPr="002B2691" w:rsidRDefault="002B2691" w:rsidP="002A5DF8">
      <w:pPr>
        <w:spacing w:line="220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2691">
        <w:rPr>
          <w:rFonts w:asciiTheme="minorHAnsi" w:hAnsiTheme="minorHAnsi" w:cstheme="minorHAnsi"/>
          <w:b/>
          <w:sz w:val="20"/>
          <w:szCs w:val="20"/>
        </w:rPr>
        <w:t>Involve Family and Community</w:t>
      </w:r>
    </w:p>
    <w:p w14:paraId="3A418CEC" w14:textId="1F493ECA" w:rsidR="000C5C58" w:rsidRPr="006E6C20" w:rsidRDefault="007B5338" w:rsidP="002A5DF8">
      <w:pPr>
        <w:spacing w:line="2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6E6C20">
        <w:rPr>
          <w:rFonts w:asciiTheme="minorHAnsi" w:hAnsiTheme="minorHAnsi" w:cstheme="minorHAnsi"/>
          <w:sz w:val="20"/>
          <w:szCs w:val="20"/>
        </w:rPr>
        <w:t>While Odyssey parents are the primary contributors to Odyssey’s success, we also benefit from the support of extended fa</w:t>
      </w:r>
      <w:r w:rsidR="00C45452" w:rsidRPr="006E6C20">
        <w:rPr>
          <w:rFonts w:asciiTheme="minorHAnsi" w:hAnsiTheme="minorHAnsi" w:cstheme="minorHAnsi"/>
          <w:sz w:val="20"/>
          <w:szCs w:val="20"/>
        </w:rPr>
        <w:t xml:space="preserve">mily and the general community. </w:t>
      </w:r>
      <w:r w:rsidRPr="006E6C20">
        <w:rPr>
          <w:rFonts w:asciiTheme="minorHAnsi" w:hAnsiTheme="minorHAnsi" w:cstheme="minorHAnsi"/>
          <w:sz w:val="20"/>
          <w:szCs w:val="20"/>
        </w:rPr>
        <w:t xml:space="preserve"> </w:t>
      </w:r>
      <w:r w:rsidR="000C5C58" w:rsidRPr="006E6C20">
        <w:rPr>
          <w:rFonts w:asciiTheme="minorHAnsi" w:hAnsiTheme="minorHAnsi" w:cstheme="minorHAnsi"/>
          <w:sz w:val="20"/>
          <w:szCs w:val="20"/>
        </w:rPr>
        <w:t xml:space="preserve">If you </w:t>
      </w:r>
      <w:r w:rsidRPr="006E6C20">
        <w:rPr>
          <w:rFonts w:asciiTheme="minorHAnsi" w:hAnsiTheme="minorHAnsi" w:cstheme="minorHAnsi"/>
          <w:sz w:val="20"/>
          <w:szCs w:val="20"/>
        </w:rPr>
        <w:t>know a family member</w:t>
      </w:r>
      <w:r w:rsidR="0068131B" w:rsidRPr="006E6C20">
        <w:rPr>
          <w:rFonts w:asciiTheme="minorHAnsi" w:hAnsiTheme="minorHAnsi" w:cstheme="minorHAnsi"/>
          <w:sz w:val="20"/>
          <w:szCs w:val="20"/>
        </w:rPr>
        <w:t>,</w:t>
      </w:r>
      <w:r w:rsidRPr="006E6C20">
        <w:rPr>
          <w:rFonts w:asciiTheme="minorHAnsi" w:hAnsiTheme="minorHAnsi" w:cstheme="minorHAnsi"/>
          <w:sz w:val="20"/>
          <w:szCs w:val="20"/>
        </w:rPr>
        <w:t xml:space="preserve"> </w:t>
      </w:r>
      <w:r w:rsidR="00C45452" w:rsidRPr="006E6C20">
        <w:rPr>
          <w:rFonts w:asciiTheme="minorHAnsi" w:hAnsiTheme="minorHAnsi" w:cstheme="minorHAnsi"/>
          <w:sz w:val="20"/>
          <w:szCs w:val="20"/>
        </w:rPr>
        <w:t xml:space="preserve">Odyssey alumni, </w:t>
      </w:r>
      <w:r w:rsidRPr="006E6C20">
        <w:rPr>
          <w:rFonts w:asciiTheme="minorHAnsi" w:hAnsiTheme="minorHAnsi" w:cstheme="minorHAnsi"/>
          <w:sz w:val="20"/>
          <w:szCs w:val="20"/>
        </w:rPr>
        <w:t xml:space="preserve">friend </w:t>
      </w:r>
      <w:r w:rsidR="0068131B" w:rsidRPr="006E6C20">
        <w:rPr>
          <w:rFonts w:asciiTheme="minorHAnsi" w:hAnsiTheme="minorHAnsi" w:cstheme="minorHAnsi"/>
          <w:sz w:val="20"/>
          <w:szCs w:val="20"/>
        </w:rPr>
        <w:t xml:space="preserve">or neighbor </w:t>
      </w:r>
      <w:r w:rsidRPr="006E6C20">
        <w:rPr>
          <w:rFonts w:asciiTheme="minorHAnsi" w:hAnsiTheme="minorHAnsi" w:cstheme="minorHAnsi"/>
          <w:sz w:val="20"/>
          <w:szCs w:val="20"/>
        </w:rPr>
        <w:t xml:space="preserve">who </w:t>
      </w:r>
      <w:r w:rsidR="000C5C58" w:rsidRPr="006E6C20">
        <w:rPr>
          <w:rFonts w:asciiTheme="minorHAnsi" w:hAnsiTheme="minorHAnsi" w:cstheme="minorHAnsi"/>
          <w:sz w:val="20"/>
          <w:szCs w:val="20"/>
        </w:rPr>
        <w:t xml:space="preserve">would like </w:t>
      </w:r>
      <w:r w:rsidRPr="006E6C20">
        <w:rPr>
          <w:rFonts w:asciiTheme="minorHAnsi" w:hAnsiTheme="minorHAnsi" w:cstheme="minorHAnsi"/>
          <w:sz w:val="20"/>
          <w:szCs w:val="20"/>
        </w:rPr>
        <w:t>to support Odyssey, please provide their names and addresses to the</w:t>
      </w:r>
      <w:r w:rsidR="000C5C58" w:rsidRPr="006E6C20">
        <w:rPr>
          <w:rFonts w:asciiTheme="minorHAnsi" w:hAnsiTheme="minorHAnsi" w:cstheme="minorHAnsi"/>
          <w:sz w:val="20"/>
          <w:szCs w:val="20"/>
        </w:rPr>
        <w:t xml:space="preserve"> Direct Giving</w:t>
      </w:r>
      <w:r w:rsidR="009D20E7">
        <w:rPr>
          <w:rFonts w:asciiTheme="minorHAnsi" w:hAnsiTheme="minorHAnsi" w:cstheme="minorHAnsi"/>
          <w:sz w:val="20"/>
          <w:szCs w:val="20"/>
        </w:rPr>
        <w:t xml:space="preserve"> Lead a</w:t>
      </w:r>
      <w:r w:rsidRPr="006E6C20">
        <w:rPr>
          <w:rFonts w:asciiTheme="minorHAnsi" w:hAnsiTheme="minorHAnsi" w:cstheme="minorHAnsi"/>
          <w:sz w:val="20"/>
          <w:szCs w:val="20"/>
        </w:rPr>
        <w:t xml:space="preserve">nd we will send </w:t>
      </w:r>
      <w:r w:rsidR="001F6130">
        <w:rPr>
          <w:rFonts w:asciiTheme="minorHAnsi" w:hAnsiTheme="minorHAnsi" w:cstheme="minorHAnsi"/>
          <w:sz w:val="20"/>
          <w:szCs w:val="20"/>
        </w:rPr>
        <w:t xml:space="preserve">them this giving form.  </w:t>
      </w:r>
      <w:r w:rsidR="002B269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FC806C2" w14:textId="77777777" w:rsidR="007B5338" w:rsidRPr="006E6C20" w:rsidRDefault="007B5338" w:rsidP="007C3084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7B83631" w14:textId="68BEEB04" w:rsidR="007C3084" w:rsidRDefault="00DD33A6" w:rsidP="002A5DF8">
      <w:pPr>
        <w:spacing w:line="220" w:lineRule="exact"/>
        <w:rPr>
          <w:rFonts w:asciiTheme="minorHAnsi" w:hAnsiTheme="minorHAnsi" w:cstheme="minorHAnsi"/>
          <w:sz w:val="20"/>
          <w:szCs w:val="20"/>
        </w:rPr>
      </w:pPr>
      <w:r w:rsidRPr="006E6C20">
        <w:rPr>
          <w:rFonts w:asciiTheme="minorHAnsi" w:hAnsiTheme="minorHAnsi" w:cstheme="minorHAnsi"/>
          <w:sz w:val="20"/>
          <w:szCs w:val="20"/>
        </w:rPr>
        <w:t xml:space="preserve">Thank you for making it possible for </w:t>
      </w:r>
      <w:r w:rsidR="0068131B" w:rsidRPr="006E6C20">
        <w:rPr>
          <w:rFonts w:asciiTheme="minorHAnsi" w:hAnsiTheme="minorHAnsi" w:cstheme="minorHAnsi"/>
          <w:sz w:val="20"/>
          <w:szCs w:val="20"/>
        </w:rPr>
        <w:t xml:space="preserve">the Odyssey Program </w:t>
      </w:r>
      <w:r w:rsidRPr="006E6C20">
        <w:rPr>
          <w:rFonts w:asciiTheme="minorHAnsi" w:hAnsiTheme="minorHAnsi" w:cstheme="minorHAnsi"/>
          <w:sz w:val="20"/>
          <w:szCs w:val="20"/>
        </w:rPr>
        <w:t xml:space="preserve">to </w:t>
      </w:r>
      <w:r w:rsidR="0068131B" w:rsidRPr="006E6C20">
        <w:rPr>
          <w:rFonts w:asciiTheme="minorHAnsi" w:hAnsiTheme="minorHAnsi" w:cstheme="minorHAnsi"/>
          <w:sz w:val="20"/>
          <w:szCs w:val="20"/>
        </w:rPr>
        <w:t xml:space="preserve">offer your child a year </w:t>
      </w:r>
      <w:r w:rsidRPr="006E6C20">
        <w:rPr>
          <w:rFonts w:asciiTheme="minorHAnsi" w:hAnsiTheme="minorHAnsi" w:cstheme="minorHAnsi"/>
          <w:sz w:val="20"/>
          <w:szCs w:val="20"/>
        </w:rPr>
        <w:t>filled with</w:t>
      </w:r>
      <w:r w:rsidR="0068131B" w:rsidRPr="006E6C20">
        <w:rPr>
          <w:rFonts w:asciiTheme="minorHAnsi" w:hAnsiTheme="minorHAnsi" w:cstheme="minorHAnsi"/>
          <w:sz w:val="20"/>
          <w:szCs w:val="20"/>
        </w:rPr>
        <w:t xml:space="preserve"> educational challenges, opportunities, rewards and adventures!</w:t>
      </w:r>
      <w:r w:rsidR="00BD4526">
        <w:rPr>
          <w:rFonts w:asciiTheme="minorHAnsi" w:hAnsiTheme="minorHAnsi" w:cstheme="minorHAnsi"/>
          <w:sz w:val="20"/>
          <w:szCs w:val="20"/>
        </w:rPr>
        <w:t xml:space="preserve">  </w:t>
      </w:r>
      <w:r w:rsidR="00BD4526" w:rsidRPr="00BD4526">
        <w:rPr>
          <w:rFonts w:asciiTheme="minorHAnsi" w:hAnsiTheme="minorHAnsi" w:cstheme="minorHAnsi"/>
          <w:sz w:val="20"/>
          <w:szCs w:val="20"/>
        </w:rPr>
        <w:t>If you have any questions ab</w:t>
      </w:r>
      <w:r w:rsidR="00C86DF7">
        <w:rPr>
          <w:rFonts w:asciiTheme="minorHAnsi" w:hAnsiTheme="minorHAnsi" w:cstheme="minorHAnsi"/>
          <w:sz w:val="20"/>
          <w:szCs w:val="20"/>
        </w:rPr>
        <w:t>out the Odyssey budget, Direct G</w:t>
      </w:r>
      <w:r w:rsidR="00BD4526" w:rsidRPr="00BD4526">
        <w:rPr>
          <w:rFonts w:asciiTheme="minorHAnsi" w:hAnsiTheme="minorHAnsi" w:cstheme="minorHAnsi"/>
          <w:sz w:val="20"/>
          <w:szCs w:val="20"/>
        </w:rPr>
        <w:t xml:space="preserve">iving or how we manage financial affairs for Odyssey, please contact </w:t>
      </w:r>
      <w:r w:rsidR="00C311DE">
        <w:rPr>
          <w:rFonts w:asciiTheme="minorHAnsi" w:hAnsiTheme="minorHAnsi" w:cstheme="minorHAnsi"/>
          <w:sz w:val="20"/>
          <w:szCs w:val="20"/>
        </w:rPr>
        <w:t>Kari Tunstill</w:t>
      </w:r>
      <w:r w:rsidR="00BD4526">
        <w:rPr>
          <w:rFonts w:asciiTheme="minorHAnsi" w:hAnsiTheme="minorHAnsi" w:cstheme="minorHAnsi"/>
          <w:sz w:val="20"/>
          <w:szCs w:val="20"/>
        </w:rPr>
        <w:t xml:space="preserve"> Direct Giving </w:t>
      </w:r>
      <w:proofErr w:type="gramStart"/>
      <w:r w:rsidR="00BD4526">
        <w:rPr>
          <w:rFonts w:asciiTheme="minorHAnsi" w:hAnsiTheme="minorHAnsi" w:cstheme="minorHAnsi"/>
          <w:sz w:val="20"/>
          <w:szCs w:val="20"/>
        </w:rPr>
        <w:t>Lead</w:t>
      </w:r>
      <w:r w:rsidR="00BD4526" w:rsidRPr="00BD4526">
        <w:rPr>
          <w:rFonts w:asciiTheme="minorHAnsi" w:hAnsiTheme="minorHAnsi" w:cstheme="minorHAnsi"/>
          <w:sz w:val="20"/>
          <w:szCs w:val="20"/>
        </w:rPr>
        <w:t xml:space="preserve"> </w:t>
      </w:r>
      <w:r w:rsidR="00C311DE">
        <w:rPr>
          <w:rFonts w:asciiTheme="minorHAnsi" w:hAnsiTheme="minorHAnsi" w:cstheme="minorHAnsi"/>
          <w:sz w:val="20"/>
          <w:szCs w:val="20"/>
        </w:rPr>
        <w:t xml:space="preserve"> </w:t>
      </w:r>
      <w:r w:rsidR="0053606A">
        <w:rPr>
          <w:rFonts w:asciiTheme="minorHAnsi" w:hAnsiTheme="minorHAnsi" w:cstheme="minorHAnsi"/>
          <w:sz w:val="20"/>
          <w:szCs w:val="20"/>
        </w:rPr>
        <w:t xml:space="preserve"> </w:t>
      </w:r>
      <w:proofErr w:type="gramEnd"/>
      <w:r w:rsidR="0053606A">
        <w:rPr>
          <w:rFonts w:asciiTheme="minorHAnsi" w:hAnsiTheme="minorHAnsi" w:cstheme="minorHAnsi"/>
          <w:sz w:val="20"/>
          <w:szCs w:val="20"/>
        </w:rPr>
        <w:fldChar w:fldCharType="begin"/>
      </w:r>
      <w:r w:rsidR="0053606A">
        <w:rPr>
          <w:rFonts w:asciiTheme="minorHAnsi" w:hAnsiTheme="minorHAnsi" w:cstheme="minorHAnsi"/>
          <w:sz w:val="20"/>
          <w:szCs w:val="20"/>
        </w:rPr>
        <w:instrText xml:space="preserve"> HYPERLINK "mailto:directgiving@odysseyprogram.org" </w:instrText>
      </w:r>
      <w:r w:rsidR="0053606A">
        <w:rPr>
          <w:rFonts w:asciiTheme="minorHAnsi" w:hAnsiTheme="minorHAnsi" w:cstheme="minorHAnsi"/>
          <w:sz w:val="20"/>
          <w:szCs w:val="20"/>
        </w:rPr>
        <w:fldChar w:fldCharType="separate"/>
      </w:r>
      <w:r w:rsidR="0053606A" w:rsidRPr="00804646">
        <w:rPr>
          <w:rStyle w:val="Hyperlink"/>
          <w:rFonts w:asciiTheme="minorHAnsi" w:hAnsiTheme="minorHAnsi" w:cstheme="minorHAnsi"/>
          <w:sz w:val="20"/>
          <w:szCs w:val="20"/>
        </w:rPr>
        <w:t>directgiving@odysseyprogram.org</w:t>
      </w:r>
      <w:r w:rsidR="0053606A">
        <w:rPr>
          <w:rFonts w:asciiTheme="minorHAnsi" w:hAnsiTheme="minorHAnsi" w:cstheme="minorHAnsi"/>
          <w:sz w:val="20"/>
          <w:szCs w:val="20"/>
        </w:rPr>
        <w:fldChar w:fldCharType="end"/>
      </w:r>
      <w:r w:rsidR="0053606A">
        <w:rPr>
          <w:rFonts w:asciiTheme="minorHAnsi" w:hAnsiTheme="minorHAnsi" w:cstheme="minorHAnsi"/>
          <w:sz w:val="20"/>
          <w:szCs w:val="20"/>
        </w:rPr>
        <w:t xml:space="preserve"> </w:t>
      </w:r>
      <w:r w:rsidR="00BD4526">
        <w:rPr>
          <w:rFonts w:asciiTheme="minorHAnsi" w:hAnsiTheme="minorHAnsi" w:cstheme="minorHAnsi"/>
          <w:sz w:val="20"/>
          <w:szCs w:val="20"/>
        </w:rPr>
        <w:t xml:space="preserve">or </w:t>
      </w:r>
      <w:r w:rsidR="00A51838">
        <w:rPr>
          <w:rFonts w:asciiTheme="minorHAnsi" w:hAnsiTheme="minorHAnsi" w:cstheme="minorHAnsi"/>
          <w:sz w:val="20"/>
          <w:szCs w:val="20"/>
        </w:rPr>
        <w:t>Andrew Scott</w:t>
      </w:r>
      <w:r w:rsidR="00675E6B">
        <w:rPr>
          <w:rFonts w:asciiTheme="minorHAnsi" w:hAnsiTheme="minorHAnsi" w:cstheme="minorHAnsi"/>
          <w:sz w:val="20"/>
          <w:szCs w:val="20"/>
        </w:rPr>
        <w:t>,</w:t>
      </w:r>
      <w:r w:rsidR="00BD4526">
        <w:rPr>
          <w:rFonts w:asciiTheme="minorHAnsi" w:hAnsiTheme="minorHAnsi" w:cstheme="minorHAnsi"/>
          <w:sz w:val="20"/>
          <w:szCs w:val="20"/>
        </w:rPr>
        <w:t xml:space="preserve"> OSPC Finance Chair at </w:t>
      </w:r>
      <w:hyperlink r:id="rId6" w:history="1">
        <w:r w:rsidR="004C23D1" w:rsidRPr="00B322A7">
          <w:rPr>
            <w:rStyle w:val="Hyperlink"/>
            <w:rFonts w:asciiTheme="minorHAnsi" w:hAnsiTheme="minorHAnsi" w:cstheme="minorHAnsi"/>
            <w:sz w:val="20"/>
            <w:szCs w:val="20"/>
          </w:rPr>
          <w:t>andrew.scott@portlandoregon.gov</w:t>
        </w:r>
      </w:hyperlink>
      <w:r w:rsidR="004C23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03B711" w14:textId="77777777" w:rsidR="00C311DE" w:rsidRPr="002A5DF8" w:rsidRDefault="00C311DE" w:rsidP="002A5DF8">
      <w:pPr>
        <w:spacing w:line="220" w:lineRule="exact"/>
      </w:pPr>
    </w:p>
    <w:p w14:paraId="7692C2AA" w14:textId="77777777" w:rsidR="002B2691" w:rsidRDefault="0068131B" w:rsidP="002A5DF8">
      <w:pPr>
        <w:spacing w:line="220" w:lineRule="exact"/>
        <w:rPr>
          <w:rFonts w:asciiTheme="minorHAnsi" w:hAnsiTheme="minorHAnsi" w:cstheme="minorHAnsi"/>
          <w:sz w:val="20"/>
          <w:szCs w:val="20"/>
        </w:rPr>
      </w:pPr>
      <w:r w:rsidRPr="006E6C20">
        <w:rPr>
          <w:rFonts w:asciiTheme="minorHAnsi" w:hAnsiTheme="minorHAnsi" w:cstheme="minorHAnsi"/>
          <w:sz w:val="20"/>
          <w:szCs w:val="20"/>
        </w:rPr>
        <w:tab/>
      </w:r>
      <w:r w:rsidRPr="006E6C20">
        <w:rPr>
          <w:rFonts w:asciiTheme="minorHAnsi" w:hAnsiTheme="minorHAnsi" w:cstheme="minorHAnsi"/>
          <w:sz w:val="20"/>
          <w:szCs w:val="20"/>
        </w:rPr>
        <w:tab/>
      </w:r>
      <w:r w:rsidRPr="006E6C20">
        <w:rPr>
          <w:rFonts w:asciiTheme="minorHAnsi" w:hAnsiTheme="minorHAnsi" w:cstheme="minorHAnsi"/>
          <w:sz w:val="20"/>
          <w:szCs w:val="20"/>
        </w:rPr>
        <w:tab/>
      </w:r>
      <w:r w:rsidRPr="006E6C20">
        <w:rPr>
          <w:rFonts w:asciiTheme="minorHAnsi" w:hAnsiTheme="minorHAnsi" w:cstheme="minorHAnsi"/>
          <w:sz w:val="20"/>
          <w:szCs w:val="20"/>
        </w:rPr>
        <w:tab/>
      </w:r>
      <w:r w:rsidRPr="006E6C20">
        <w:rPr>
          <w:rFonts w:asciiTheme="minorHAnsi" w:hAnsiTheme="minorHAnsi" w:cstheme="minorHAnsi"/>
          <w:sz w:val="20"/>
          <w:szCs w:val="20"/>
        </w:rPr>
        <w:tab/>
      </w:r>
      <w:r w:rsidRPr="006E6C20">
        <w:rPr>
          <w:rFonts w:asciiTheme="minorHAnsi" w:hAnsiTheme="minorHAnsi" w:cstheme="minorHAnsi"/>
          <w:sz w:val="20"/>
          <w:szCs w:val="20"/>
        </w:rPr>
        <w:tab/>
        <w:t>Sincerely,</w:t>
      </w:r>
    </w:p>
    <w:p w14:paraId="7742FC80" w14:textId="7E0806BE" w:rsidR="002B2691" w:rsidRPr="006E6C20" w:rsidRDefault="00C311DE" w:rsidP="002A5DF8">
      <w:pPr>
        <w:spacing w:line="220" w:lineRule="exact"/>
        <w:ind w:left="4320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Toby </w:t>
      </w:r>
      <w:r w:rsidR="00A51838">
        <w:rPr>
          <w:rFonts w:asciiTheme="minorHAnsi" w:hAnsiTheme="minorHAnsi" w:cstheme="minorHAnsi"/>
          <w:sz w:val="20"/>
          <w:szCs w:val="20"/>
        </w:rPr>
        <w:t xml:space="preserve"> </w:t>
      </w:r>
      <w:r w:rsidR="0053606A">
        <w:rPr>
          <w:rFonts w:asciiTheme="minorHAnsi" w:hAnsiTheme="minorHAnsi" w:cstheme="minorHAnsi"/>
          <w:sz w:val="20"/>
          <w:szCs w:val="20"/>
        </w:rPr>
        <w:t>Etheridge</w:t>
      </w:r>
      <w:proofErr w:type="gramEnd"/>
      <w:r w:rsidR="0053606A">
        <w:rPr>
          <w:rFonts w:asciiTheme="minorHAnsi" w:hAnsiTheme="minorHAnsi" w:cstheme="minorHAnsi"/>
          <w:sz w:val="20"/>
          <w:szCs w:val="20"/>
        </w:rPr>
        <w:t xml:space="preserve"> </w:t>
      </w:r>
      <w:r w:rsidR="00A51838">
        <w:rPr>
          <w:rFonts w:asciiTheme="minorHAnsi" w:hAnsiTheme="minorHAnsi" w:cstheme="minorHAnsi"/>
          <w:sz w:val="20"/>
          <w:szCs w:val="20"/>
        </w:rPr>
        <w:t>(</w:t>
      </w:r>
      <w:r w:rsidR="00675E6B">
        <w:rPr>
          <w:rFonts w:asciiTheme="minorHAnsi" w:hAnsiTheme="minorHAnsi" w:cstheme="minorHAnsi"/>
          <w:sz w:val="20"/>
          <w:szCs w:val="20"/>
        </w:rPr>
        <w:t xml:space="preserve">Chair) and </w:t>
      </w:r>
      <w:r>
        <w:rPr>
          <w:rFonts w:asciiTheme="minorHAnsi" w:hAnsiTheme="minorHAnsi" w:cstheme="minorHAnsi"/>
          <w:sz w:val="20"/>
          <w:szCs w:val="20"/>
        </w:rPr>
        <w:t xml:space="preserve">Kari Tunstill </w:t>
      </w:r>
      <w:r w:rsidR="00675E6B">
        <w:rPr>
          <w:rFonts w:asciiTheme="minorHAnsi" w:hAnsiTheme="minorHAnsi" w:cstheme="minorHAnsi"/>
          <w:sz w:val="20"/>
          <w:szCs w:val="20"/>
        </w:rPr>
        <w:t xml:space="preserve">(Giving Lead) </w:t>
      </w:r>
      <w:r w:rsidR="002B2691">
        <w:rPr>
          <w:rFonts w:asciiTheme="minorHAnsi" w:hAnsiTheme="minorHAnsi" w:cstheme="minorHAnsi"/>
          <w:sz w:val="20"/>
          <w:szCs w:val="20"/>
        </w:rPr>
        <w:t>on behalf of</w:t>
      </w:r>
    </w:p>
    <w:p w14:paraId="5FDDA75F" w14:textId="77777777" w:rsidR="007C3084" w:rsidRDefault="002B2691" w:rsidP="002A5DF8">
      <w:pPr>
        <w:spacing w:line="220" w:lineRule="exact"/>
        <w:ind w:left="43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The Odyssey Strategic Planning Committee </w:t>
      </w:r>
    </w:p>
    <w:p w14:paraId="556ABE81" w14:textId="77777777" w:rsidR="006F72A0" w:rsidRPr="004D22D4" w:rsidRDefault="006F72A0" w:rsidP="00BF7324">
      <w:pPr>
        <w:rPr>
          <w:rFonts w:asciiTheme="minorHAnsi" w:hAnsiTheme="minorHAnsi" w:cstheme="minorHAnsi"/>
          <w:b/>
          <w:sz w:val="28"/>
          <w:szCs w:val="28"/>
        </w:rPr>
      </w:pPr>
    </w:p>
    <w:p w14:paraId="5AAE5CDA" w14:textId="7556DEAC" w:rsidR="000C5C58" w:rsidRPr="00992EEA" w:rsidRDefault="000C5C58" w:rsidP="00BF7324">
      <w:pPr>
        <w:jc w:val="center"/>
        <w:rPr>
          <w:rFonts w:asciiTheme="minorHAnsi" w:hAnsiTheme="minorHAnsi" w:cstheme="minorHAnsi"/>
          <w:b/>
        </w:rPr>
      </w:pPr>
    </w:p>
    <w:sectPr w:rsidR="000C5C58" w:rsidRPr="00992EEA" w:rsidSect="00A61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F20"/>
    <w:multiLevelType w:val="hybridMultilevel"/>
    <w:tmpl w:val="5794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A62A6"/>
    <w:multiLevelType w:val="hybridMultilevel"/>
    <w:tmpl w:val="8DEC21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03AA2"/>
    <w:multiLevelType w:val="hybridMultilevel"/>
    <w:tmpl w:val="57C6B890"/>
    <w:lvl w:ilvl="0" w:tplc="F9CA3D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86BBB"/>
    <w:multiLevelType w:val="hybridMultilevel"/>
    <w:tmpl w:val="52E6B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416E3"/>
    <w:multiLevelType w:val="hybridMultilevel"/>
    <w:tmpl w:val="4FCA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52A9F"/>
    <w:multiLevelType w:val="hybridMultilevel"/>
    <w:tmpl w:val="D0EA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0044C"/>
    <w:multiLevelType w:val="hybridMultilevel"/>
    <w:tmpl w:val="93407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A4A4E"/>
    <w:multiLevelType w:val="hybridMultilevel"/>
    <w:tmpl w:val="BBC8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11483"/>
    <w:multiLevelType w:val="hybridMultilevel"/>
    <w:tmpl w:val="587019A4"/>
    <w:lvl w:ilvl="0" w:tplc="64A8FE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97610"/>
    <w:multiLevelType w:val="hybridMultilevel"/>
    <w:tmpl w:val="6A664BAC"/>
    <w:lvl w:ilvl="0" w:tplc="82964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B548A9"/>
    <w:multiLevelType w:val="hybridMultilevel"/>
    <w:tmpl w:val="BA943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34"/>
    <w:rsid w:val="00020B34"/>
    <w:rsid w:val="00024DE8"/>
    <w:rsid w:val="00025A75"/>
    <w:rsid w:val="000436AD"/>
    <w:rsid w:val="00077239"/>
    <w:rsid w:val="000A28B6"/>
    <w:rsid w:val="000C5C58"/>
    <w:rsid w:val="001072C9"/>
    <w:rsid w:val="00112272"/>
    <w:rsid w:val="00146E81"/>
    <w:rsid w:val="001B1F05"/>
    <w:rsid w:val="001C4296"/>
    <w:rsid w:val="001E2EB4"/>
    <w:rsid w:val="001F6130"/>
    <w:rsid w:val="0020401C"/>
    <w:rsid w:val="00217F2E"/>
    <w:rsid w:val="00225E81"/>
    <w:rsid w:val="00264CF1"/>
    <w:rsid w:val="00272AD7"/>
    <w:rsid w:val="002A5DF8"/>
    <w:rsid w:val="002B2691"/>
    <w:rsid w:val="002C058A"/>
    <w:rsid w:val="00300CD5"/>
    <w:rsid w:val="00316FD0"/>
    <w:rsid w:val="0032165F"/>
    <w:rsid w:val="0033180F"/>
    <w:rsid w:val="003518A7"/>
    <w:rsid w:val="00401201"/>
    <w:rsid w:val="00404FA4"/>
    <w:rsid w:val="004757CF"/>
    <w:rsid w:val="004950E3"/>
    <w:rsid w:val="004C23D1"/>
    <w:rsid w:val="004D22D4"/>
    <w:rsid w:val="004D2EEC"/>
    <w:rsid w:val="004D4755"/>
    <w:rsid w:val="004E59C7"/>
    <w:rsid w:val="0053606A"/>
    <w:rsid w:val="00536D80"/>
    <w:rsid w:val="00552AA7"/>
    <w:rsid w:val="005C5C2D"/>
    <w:rsid w:val="005C7B4B"/>
    <w:rsid w:val="005D6115"/>
    <w:rsid w:val="005E2BAB"/>
    <w:rsid w:val="005F1F6B"/>
    <w:rsid w:val="005F4223"/>
    <w:rsid w:val="00603F1C"/>
    <w:rsid w:val="00630F17"/>
    <w:rsid w:val="00674ACF"/>
    <w:rsid w:val="00675E6B"/>
    <w:rsid w:val="0068131B"/>
    <w:rsid w:val="00691E6D"/>
    <w:rsid w:val="006B14AA"/>
    <w:rsid w:val="006B2734"/>
    <w:rsid w:val="006B46FA"/>
    <w:rsid w:val="006E6C20"/>
    <w:rsid w:val="006F1F7C"/>
    <w:rsid w:val="006F72A0"/>
    <w:rsid w:val="00731589"/>
    <w:rsid w:val="00732C55"/>
    <w:rsid w:val="00744DCA"/>
    <w:rsid w:val="00777271"/>
    <w:rsid w:val="007A0A2C"/>
    <w:rsid w:val="007A64E8"/>
    <w:rsid w:val="007B5338"/>
    <w:rsid w:val="007C3084"/>
    <w:rsid w:val="007E2B3B"/>
    <w:rsid w:val="007E59D2"/>
    <w:rsid w:val="007F2160"/>
    <w:rsid w:val="007F4B8D"/>
    <w:rsid w:val="0081734D"/>
    <w:rsid w:val="00834FB1"/>
    <w:rsid w:val="00837452"/>
    <w:rsid w:val="00895F5F"/>
    <w:rsid w:val="00927962"/>
    <w:rsid w:val="009468FF"/>
    <w:rsid w:val="00961CC4"/>
    <w:rsid w:val="00963B0F"/>
    <w:rsid w:val="00992EEA"/>
    <w:rsid w:val="009968BE"/>
    <w:rsid w:val="009B0896"/>
    <w:rsid w:val="009B1E13"/>
    <w:rsid w:val="009C75C9"/>
    <w:rsid w:val="009D20E7"/>
    <w:rsid w:val="009E38A0"/>
    <w:rsid w:val="009F3181"/>
    <w:rsid w:val="00A04046"/>
    <w:rsid w:val="00A3238B"/>
    <w:rsid w:val="00A33CE3"/>
    <w:rsid w:val="00A512F4"/>
    <w:rsid w:val="00A51838"/>
    <w:rsid w:val="00A61F7C"/>
    <w:rsid w:val="00A63371"/>
    <w:rsid w:val="00A81C09"/>
    <w:rsid w:val="00A8644D"/>
    <w:rsid w:val="00A90714"/>
    <w:rsid w:val="00A936AB"/>
    <w:rsid w:val="00AC0AF2"/>
    <w:rsid w:val="00AD2615"/>
    <w:rsid w:val="00AF558E"/>
    <w:rsid w:val="00AF5D55"/>
    <w:rsid w:val="00B1778B"/>
    <w:rsid w:val="00B25A61"/>
    <w:rsid w:val="00B37BDA"/>
    <w:rsid w:val="00BB411C"/>
    <w:rsid w:val="00BC600A"/>
    <w:rsid w:val="00BD4526"/>
    <w:rsid w:val="00BF7324"/>
    <w:rsid w:val="00C12188"/>
    <w:rsid w:val="00C311DE"/>
    <w:rsid w:val="00C45452"/>
    <w:rsid w:val="00C50273"/>
    <w:rsid w:val="00C86DF7"/>
    <w:rsid w:val="00CA4B2E"/>
    <w:rsid w:val="00CD6043"/>
    <w:rsid w:val="00CE743D"/>
    <w:rsid w:val="00D80C41"/>
    <w:rsid w:val="00D95455"/>
    <w:rsid w:val="00DA51D5"/>
    <w:rsid w:val="00DD2978"/>
    <w:rsid w:val="00DD33A6"/>
    <w:rsid w:val="00E02389"/>
    <w:rsid w:val="00E0275F"/>
    <w:rsid w:val="00E048FB"/>
    <w:rsid w:val="00E314E1"/>
    <w:rsid w:val="00E47DB7"/>
    <w:rsid w:val="00E555EF"/>
    <w:rsid w:val="00E55C7B"/>
    <w:rsid w:val="00EB7BE2"/>
    <w:rsid w:val="00EC0501"/>
    <w:rsid w:val="00EC2F1A"/>
    <w:rsid w:val="00F062D9"/>
    <w:rsid w:val="00F17935"/>
    <w:rsid w:val="00F775EB"/>
    <w:rsid w:val="00FB66AC"/>
    <w:rsid w:val="00FC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92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5C58"/>
    <w:rPr>
      <w:color w:val="0000FF"/>
      <w:u w:val="single"/>
    </w:rPr>
  </w:style>
  <w:style w:type="character" w:styleId="FollowedHyperlink">
    <w:name w:val="FollowedHyperlink"/>
    <w:basedOn w:val="DefaultParagraphFont"/>
    <w:rsid w:val="00B1778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3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371"/>
    <w:rPr>
      <w:b/>
      <w:bCs/>
    </w:rPr>
  </w:style>
  <w:style w:type="paragraph" w:styleId="ListParagraph">
    <w:name w:val="List Paragraph"/>
    <w:basedOn w:val="Normal"/>
    <w:uiPriority w:val="99"/>
    <w:qFormat/>
    <w:rsid w:val="00E314E1"/>
    <w:pPr>
      <w:ind w:left="720"/>
      <w:contextualSpacing/>
    </w:pPr>
  </w:style>
  <w:style w:type="table" w:styleId="TableGrid">
    <w:name w:val="Table Grid"/>
    <w:basedOn w:val="TableNormal"/>
    <w:uiPriority w:val="99"/>
    <w:rsid w:val="00E31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5C58"/>
    <w:rPr>
      <w:color w:val="0000FF"/>
      <w:u w:val="single"/>
    </w:rPr>
  </w:style>
  <w:style w:type="character" w:styleId="FollowedHyperlink">
    <w:name w:val="FollowedHyperlink"/>
    <w:basedOn w:val="DefaultParagraphFont"/>
    <w:rsid w:val="00B1778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3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371"/>
    <w:rPr>
      <w:b/>
      <w:bCs/>
    </w:rPr>
  </w:style>
  <w:style w:type="paragraph" w:styleId="ListParagraph">
    <w:name w:val="List Paragraph"/>
    <w:basedOn w:val="Normal"/>
    <w:uiPriority w:val="99"/>
    <w:qFormat/>
    <w:rsid w:val="00E314E1"/>
    <w:pPr>
      <w:ind w:left="720"/>
      <w:contextualSpacing/>
    </w:pPr>
  </w:style>
  <w:style w:type="table" w:styleId="TableGrid">
    <w:name w:val="Table Grid"/>
    <w:basedOn w:val="TableNormal"/>
    <w:uiPriority w:val="99"/>
    <w:rsid w:val="00E31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drew.scott@portlandoregon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1080</Words>
  <Characters>6157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[Can we make a colorful header with random Odyssey-related terms splashed about the top of the page like “Field Study”, “Guilds”, “Excellence”, “Leadership”, etc</vt:lpstr>
    </vt:vector>
  </TitlesOfParts>
  <Company>Nike, Inc.</Company>
  <LinksUpToDate>false</LinksUpToDate>
  <CharactersWithSpaces>7223</CharactersWithSpaces>
  <SharedDoc>false</SharedDoc>
  <HLinks>
    <vt:vector size="24" baseType="variant">
      <vt:variant>
        <vt:i4>6422621</vt:i4>
      </vt:variant>
      <vt:variant>
        <vt:i4>9</vt:i4>
      </vt:variant>
      <vt:variant>
        <vt:i4>0</vt:i4>
      </vt:variant>
      <vt:variant>
        <vt:i4>5</vt:i4>
      </vt:variant>
      <vt:variant>
        <vt:lpwstr>mailto:pblbhb@comcast.net</vt:lpwstr>
      </vt:variant>
      <vt:variant>
        <vt:lpwstr/>
      </vt:variant>
      <vt:variant>
        <vt:i4>7929897</vt:i4>
      </vt:variant>
      <vt:variant>
        <vt:i4>6</vt:i4>
      </vt:variant>
      <vt:variant>
        <vt:i4>0</vt:i4>
      </vt:variant>
      <vt:variant>
        <vt:i4>5</vt:i4>
      </vt:variant>
      <vt:variant>
        <vt:lpwstr>http://www.odysseyprogram.org/index.pl?id=5059;isa=Category;op=show</vt:lpwstr>
      </vt:variant>
      <vt:variant>
        <vt:lpwstr/>
      </vt:variant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mailto:pblbhb@comcast.net</vt:lpwstr>
      </vt:variant>
      <vt:variant>
        <vt:lpwstr/>
      </vt:variant>
      <vt:variant>
        <vt:i4>6422621</vt:i4>
      </vt:variant>
      <vt:variant>
        <vt:i4>0</vt:i4>
      </vt:variant>
      <vt:variant>
        <vt:i4>0</vt:i4>
      </vt:variant>
      <vt:variant>
        <vt:i4>5</vt:i4>
      </vt:variant>
      <vt:variant>
        <vt:lpwstr>mailto:pblbhb@comcast.net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[Can we make a colorful header with random Odyssey-related terms splashed about the top of the page like “Field Study”, “Guilds”, “Excellence”, “Leadership”, etc</dc:title>
  <dc:creator>ablume</dc:creator>
  <cp:lastModifiedBy>Kari  Tunstill</cp:lastModifiedBy>
  <cp:revision>3</cp:revision>
  <cp:lastPrinted>2014-08-27T21:42:00Z</cp:lastPrinted>
  <dcterms:created xsi:type="dcterms:W3CDTF">2015-11-07T21:13:00Z</dcterms:created>
  <dcterms:modified xsi:type="dcterms:W3CDTF">2015-11-07T21:14:00Z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1477692670</vt:i4>
  </property>
  <property fmtid="{D5CDD505-2E9C-101B-9397-08002B2CF9AE}" pid="3" name="_EmailSubject">
    <vt:lpwstr>DG Letter</vt:lpwstr>
  </property>
  <property fmtid="{D5CDD505-2E9C-101B-9397-08002B2CF9AE}" pid="4" name="_AuthorEmail">
    <vt:lpwstr>lkbhvsb@comcast.net</vt:lpwstr>
  </property>
  <property fmtid="{D5CDD505-2E9C-101B-9397-08002B2CF9AE}" pid="5" name="_AuthorEmailDisplayName">
    <vt:lpwstr>Lisa</vt:lpwstr>
  </property>
  <property fmtid="{D5CDD505-2E9C-101B-9397-08002B2CF9AE}" pid="6" name="_PreviousAdHocReviewCycleID">
    <vt:i4>1539613924</vt:i4>
  </property>
  <property fmtid="{D5CDD505-2E9C-101B-9397-08002B2CF9AE}" pid="7" name="_ReviewingToolsShownOnce">
    <vt:lpwstr/>
  </property>
</Properties>
</file>